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53.jpg" ContentType="image/jpeg"/>
  <Override PartName="/word/media/rId121.png" ContentType="image/png"/>
  <Override PartName="/word/media/rId52.png" ContentType="image/png"/>
  <Override PartName="/word/media/rId93.png" ContentType="image/png"/>
  <Override PartName="/word/media/rId108.png" ContentType="image/png"/>
  <Override PartName="/word/media/rId95.png" ContentType="image/png"/>
  <Override PartName="/word/media/rId96.png" ContentType="image/png"/>
  <Override PartName="/word/media/rId38.jpg" ContentType="image/jpeg"/>
  <Override PartName="/word/media/rId48.jpg" ContentType="image/jpeg"/>
  <Override PartName="/word/media/rId89.png" ContentType="image/png"/>
  <Override PartName="/word/media/rId49.jpg" ContentType="image/jpeg"/>
  <Override PartName="/word/media/rId84.png" ContentType="image/png"/>
  <Override PartName="/word/media/rId40.png" ContentType="image/png"/>
  <Override PartName="/word/media/rId73.jpg" ContentType="image/jpeg"/>
  <Override PartName="/word/media/rId37.png" ContentType="image/png"/>
  <Override PartName="/word/media/rId122.png" ContentType="image/png"/>
  <Override PartName="/word/media/rId34.jpg" ContentType="image/jpeg"/>
  <Override PartName="/word/media/rId98.png" ContentType="image/png"/>
  <Override PartName="/word/media/rId41.png" ContentType="image/png"/>
  <Override PartName="/word/media/rId62.png" ContentType="image/png"/>
  <Override PartName="/word/media/rId39.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section"/>
      <w:bookmarkEnd w:id="22"/>
    </w:p>
    <w:p>
      <w:pPr>
        <w:pStyle w:val="Heading1"/>
      </w:pPr>
      <w:bookmarkStart w:id="23" w:name="list-of-tables"/>
      <w:r>
        <w:t xml:space="preserve">List of tables</w:t>
      </w:r>
      <w:bookmarkEnd w:id="23"/>
    </w:p>
    <w:p>
      <w:pPr>
        <w:pStyle w:val="FirstParagraph"/>
      </w:pPr>
      <w:r>
        <w:t xml:space="preserve">Table 2.1: Overview of occupational IPF studies</w:t>
      </w:r>
      <w:r>
        <w:t xml:space="preserve"> </w:t>
      </w:r>
    </w:p>
    <w:p>
      <w:pPr>
        <w:pStyle w:val="BodyText"/>
      </w:pPr>
      <w:r>
        <w:t xml:space="preserve">Table 2.2: Rob-SPEO risk of bias scores for studies</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X68d7e777bbe810e6182f873ee32f5646159d582"/>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w:t>
      </w:r>
    </w:p>
    <w:p>
      <w:pPr>
        <w:pStyle w:val="Heading1"/>
      </w:pPr>
      <w:bookmarkStart w:id="30" w:name="Xd39e48225ccecc62650ae48471ec2ac7ec59981"/>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identified several review articles of the epidemiology of interstitial lung disease that do not necessarily focus on IPF and only briefly mention occupational factors (e.g Ley2013</w:t>
      </w:r>
      <w:r>
        <w:t xml:space="preserve">[4]</w:t>
      </w:r>
      <w:r>
        <w:t xml:space="preserve">). Here I consider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also used Medline ranker</w:t>
      </w:r>
      <w:r>
        <w:t xml:space="preserve">[27]</w:t>
      </w:r>
      <w:r>
        <w:t xml:space="preserve"> </w:t>
      </w:r>
      <w:r>
        <w:t xml:space="preserve">and bespoke Pubmed</w:t>
      </w:r>
      <w:r>
        <w:t xml:space="preserve"> </w:t>
      </w:r>
      <w:r>
        <w:t xml:space="preserve">‘</w:t>
      </w:r>
      <w:r>
        <w:t xml:space="preserve">mining</w:t>
      </w:r>
      <w:r>
        <w:t xml:space="preserve">’</w:t>
      </w:r>
      <w:r>
        <w:t xml:space="preserve"> </w:t>
      </w:r>
      <w:r>
        <w:t xml:space="preserve">techniques that I developed.</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Figures 2.1, 2.2, and 2.3 are adapted from Blanc et al 2019.</w:t>
      </w:r>
      <w:r>
        <w:t xml:space="preserve">[26]</w:t>
      </w:r>
    </w:p>
    <w:p>
      <w:pPr>
        <w:pStyle w:val="CaptionedFigure"/>
      </w:pPr>
      <w:r>
        <w:drawing>
          <wp:inline>
            <wp:extent cx="5334000" cy="2710526"/>
            <wp:effectExtent b="0" l="0" r="0" t="0"/>
            <wp:docPr descr="Previous IPF case-control studies reporting on occupational exposures. (Blanc 2019)"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4"/>
                    <a:stretch>
                      <a:fillRect/>
                    </a:stretch>
                  </pic:blipFill>
                  <pic:spPr bwMode="auto">
                    <a:xfrm>
                      <a:off x="0" y="0"/>
                      <a:ext cx="5334000" cy="2710526"/>
                    </a:xfrm>
                    <a:prstGeom prst="rect">
                      <a:avLst/>
                    </a:prstGeom>
                    <a:noFill/>
                    <a:ln w="9525">
                      <a:noFill/>
                      <a:headEnd/>
                      <a:tailEnd/>
                    </a:ln>
                  </pic:spPr>
                </pic:pic>
              </a:graphicData>
            </a:graphic>
          </wp:inline>
        </w:drawing>
      </w:r>
    </w:p>
    <w:p>
      <w:pPr>
        <w:pStyle w:val="ImageCaption"/>
      </w:pPr>
      <w:r>
        <w:t xml:space="preserve">Previous IPF case-control studies reporting on occupational exposures. (Blanc 2019)</w:t>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and stone dust. See Figures 2.4, 2.5, and 2.6.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2.1 and 2.2.</w:t>
      </w:r>
    </w:p>
    <w:p>
      <w:pPr>
        <w:pStyle w:val="Heading3"/>
      </w:pPr>
      <w:bookmarkStart w:id="35" w:name="X6b4016082fdc7438968d2cfee411b00c631f3aa"/>
      <w:r>
        <w:t xml:space="preserve">Table 2.1: Overview of occupational IPF studies</w:t>
      </w:r>
      <w:bookmarkEnd w:id="35"/>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6" w:name="X1e986d9b3520d6ae1034731f8066853f2245477"/>
      <w:r>
        <w:t xml:space="preserve">Table 2.2: Rob-SPEO risk of bias scores for occupational IPF studies.</w:t>
      </w:r>
      <w:bookmarkEnd w:id="36"/>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w:t>
      </w:r>
      <w:r>
        <w:t xml:space="preserve">[38]</w:t>
      </w:r>
      <w:r>
        <w:t xml:space="preserve">, and one because it reported data for pulmonary fibrosis rather than IPF.</w:t>
      </w:r>
      <w:r>
        <w:t xml:space="preserve">[43]</w:t>
      </w:r>
      <w:r>
        <w:t xml:space="preserve"> </w:t>
      </w:r>
      <w:r>
        <w:t xml:space="preserve">Each exposure category was assessed with 5-11 risk estimates (Table 2.2).</w:t>
      </w:r>
    </w:p>
    <w:p>
      <w:pPr>
        <w:pStyle w:val="CaptionedFigure"/>
      </w:pPr>
      <w:r>
        <w:drawing>
          <wp:inline>
            <wp:extent cx="5334000" cy="2044821"/>
            <wp:effectExtent b="0" l="0" r="0" t="0"/>
            <wp:docPr descr="Pooled population attributable risk factors for occupation and idiopathic pulmonary fibrosis. (Blanc 2019)" title="" id="1" name="Picture"/>
            <a:graphic>
              <a:graphicData uri="http://schemas.openxmlformats.org/drawingml/2006/picture">
                <pic:pic>
                  <pic:nvPicPr>
                    <pic:cNvPr descr="source/figures/paf.png" id="0" name="Picture"/>
                    <pic:cNvPicPr>
                      <a:picLocks noChangeArrowheads="1" noChangeAspect="1"/>
                    </pic:cNvPicPr>
                  </pic:nvPicPr>
                  <pic:blipFill>
                    <a:blip r:embed="rId37"/>
                    <a:stretch>
                      <a:fillRect/>
                    </a:stretch>
                  </pic:blipFill>
                  <pic:spPr bwMode="auto">
                    <a:xfrm>
                      <a:off x="0" y="0"/>
                      <a:ext cx="5334000" cy="2044821"/>
                    </a:xfrm>
                    <a:prstGeom prst="rect">
                      <a:avLst/>
                    </a:prstGeom>
                    <a:noFill/>
                    <a:ln w="9525">
                      <a:noFill/>
                      <a:headEnd/>
                      <a:tailEnd/>
                    </a:ln>
                  </pic:spPr>
                </pic:pic>
              </a:graphicData>
            </a:graphic>
          </wp:inline>
        </w:drawing>
      </w:r>
    </w:p>
    <w:p>
      <w:pPr>
        <w:pStyle w:val="ImageCaption"/>
      </w:pPr>
      <w:r>
        <w:t xml:space="preserve">Pooled population attributable risk factors for occupation and idiopathic pulmonary fibrosis. (Blanc 2019)</w:t>
      </w:r>
    </w:p>
    <w:p>
      <w:pPr>
        <w:pStyle w:val="CaptionedFigure"/>
      </w:pPr>
      <w:r>
        <w:drawing>
          <wp:inline>
            <wp:extent cx="5334000" cy="2559930"/>
            <wp:effectExtent b="0" l="0" r="0" t="0"/>
            <wp:docPr descr="Forrest plot of pooled population attributable risk factors for occupational VGDF exposure and idiopathic pulmonary fibrosis.(Blanc 2019)" title="" id="1" name="Picture"/>
            <a:graphic>
              <a:graphicData uri="http://schemas.openxmlformats.org/drawingml/2006/picture">
                <pic:pic>
                  <pic:nvPicPr>
                    <pic:cNvPr descr="source/figures/forrest.jpg" id="0" name="Picture"/>
                    <pic:cNvPicPr>
                      <a:picLocks noChangeArrowheads="1" noChangeAspect="1"/>
                    </pic:cNvPicPr>
                  </pic:nvPicPr>
                  <pic:blipFill>
                    <a:blip r:embed="rId38"/>
                    <a:stretch>
                      <a:fillRect/>
                    </a:stretch>
                  </pic:blipFill>
                  <pic:spPr bwMode="auto">
                    <a:xfrm>
                      <a:off x="0" y="0"/>
                      <a:ext cx="5334000" cy="2559930"/>
                    </a:xfrm>
                    <a:prstGeom prst="rect">
                      <a:avLst/>
                    </a:prstGeom>
                    <a:noFill/>
                    <a:ln w="9525">
                      <a:noFill/>
                      <a:headEnd/>
                      <a:tailEnd/>
                    </a:ln>
                  </pic:spPr>
                </pic:pic>
              </a:graphicData>
            </a:graphic>
          </wp:inline>
        </w:drawing>
      </w:r>
    </w:p>
    <w:p>
      <w:pPr>
        <w:pStyle w:val="ImageCaption"/>
      </w:pPr>
      <w:r>
        <w:t xml:space="preserve">Forrest plot of pooled population attributable risk factors for occupational VGDF exposure and idiopathic pulmonary fibrosis.(Blanc 2019)</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39"/>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0"/>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1"/>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Heading2"/>
      </w:pPr>
      <w:bookmarkStart w:id="42" w:name="discussion"/>
      <w:r>
        <w:t xml:space="preserve">Discussion</w:t>
      </w:r>
      <w:bookmarkEnd w:id="42"/>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2.2.</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Collectively application of the Rob-SPEO tool</w:t>
      </w:r>
      <w:r>
        <w:t xml:space="preserve">[29]</w:t>
      </w:r>
      <w:r>
        <w:t xml:space="preserve"> </w:t>
      </w:r>
      <w:r>
        <w:t xml:space="preserve">showed that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3" w:name="conclusion"/>
      <w:r>
        <w:t xml:space="preserve">Conclusion</w:t>
      </w:r>
      <w:bookmarkEnd w:id="43"/>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4" w:name="Xb5a6f031f22502178631092648decfff92a9ecb"/>
      <w:r>
        <w:t xml:space="preserve">Mortality analysis: do mortality trends support an occupational cause?</w:t>
      </w:r>
      <w:bookmarkEnd w:id="44"/>
    </w:p>
    <w:p>
      <w:pPr>
        <w:pStyle w:val="Heading2"/>
      </w:pPr>
      <w:bookmarkStart w:id="45" w:name="introduction-1"/>
      <w:r>
        <w:t xml:space="preserve">Introduction</w:t>
      </w:r>
      <w:bookmarkEnd w:id="45"/>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trends in IPF, mesothelioma, and asbestosis mortality data for evidence of cohort effect and association.</w:t>
      </w:r>
    </w:p>
    <w:p>
      <w:pPr>
        <w:pStyle w:val="Heading2"/>
      </w:pPr>
      <w:bookmarkStart w:id="46" w:name="method-1"/>
      <w:r>
        <w:t xml:space="preserve">Method</w:t>
      </w:r>
      <w:bookmarkEnd w:id="46"/>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 Data were age-standardised and visualised. For regional analysis adjusted mortality rate ratios were calculated using a multivariate Poisson regression model of region, age and sex.</w:t>
      </w:r>
    </w:p>
    <w:p>
      <w:pPr>
        <w:pStyle w:val="Heading2"/>
      </w:pPr>
      <w:bookmarkStart w:id="47" w:name="results-1"/>
      <w:r>
        <w:t xml:space="preserve">Results</w:t>
      </w:r>
      <w:bookmarkEnd w:id="47"/>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0" w:name="X8f9a13d3d576365bf57ee4e26837b8d6b8c7d00"/>
      <w:r>
        <w:t xml:space="preserve">Table 3.1: Regional IPF, mesothelioma, and asbestosis mortality 1974-2012. Adjusted mortality rate ratios.</w:t>
      </w:r>
      <w:bookmarkEnd w:id="50"/>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1" w:name="discussion-1"/>
      <w:r>
        <w:t xml:space="preserve">Discussion</w:t>
      </w:r>
      <w:bookmarkEnd w:id="51"/>
    </w:p>
    <w:p>
      <w:pPr>
        <w:pStyle w:val="FirstParagraph"/>
      </w:pPr>
      <w:r>
        <w:t xml:space="preserve">I found evidence of a cohort effect whereby age specific-specific IPF death rates have increased in successive cohorts. These findings are similar to a recent study by Navaratnam et al using the same data source</w:t>
      </w:r>
      <w:r>
        <w:t xml:space="preserve">[2]</w:t>
      </w:r>
      <w:r>
        <w:t xml:space="preserve"> </w:t>
      </w:r>
      <w:r>
        <w:t xml:space="preserve">and mesothelioma birth cohort age adjusted mortality trends.</w:t>
      </w:r>
      <w:r>
        <w:t xml:space="preserve">[54]</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2"/>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[55]</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3"/>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4" w:name="conclusion-1"/>
      <w:r>
        <w:t xml:space="preserve">Conclusion</w:t>
      </w:r>
      <w:bookmarkEnd w:id="54"/>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5" w:name="X5e265e46d71cac0202ab13d099f9baac84a6cb1"/>
      <w:r>
        <w:t xml:space="preserve">Historic asbestos exposure assessment: can it be done?</w:t>
      </w:r>
      <w:bookmarkEnd w:id="55"/>
    </w:p>
    <w:p>
      <w:pPr>
        <w:pStyle w:val="Heading2"/>
      </w:pPr>
      <w:bookmarkStart w:id="56" w:name="introduction-2"/>
      <w:r>
        <w:t xml:space="preserve">Introduction</w:t>
      </w:r>
      <w:bookmarkEnd w:id="56"/>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[56]</w:t>
      </w:r>
      <w:r>
        <w:t xml:space="preserve">, counts are sensitive to techniques used, and establishing appropriate references ranges is challenging.</w:t>
      </w:r>
      <w:r>
        <w:t xml:space="preserve">[57]</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[58]</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[59]</w:t>
      </w:r>
      <w:r>
        <w:t xml:space="preserve"> </w:t>
      </w:r>
      <w:r>
        <w:t xml:space="preserve">as well as population asbestos JEMs, for example for all Dutch workers.</w:t>
      </w:r>
      <w:r>
        <w:t xml:space="preserve">[60]</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[61]</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57" w:name="method-2"/>
      <w:r>
        <w:t xml:space="preserve">Method</w:t>
      </w:r>
      <w:bookmarkEnd w:id="57"/>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58" w:name="results-2"/>
      <w:r>
        <w:t xml:space="preserve">Results</w:t>
      </w:r>
      <w:bookmarkEnd w:id="58"/>
    </w:p>
    <w:p>
      <w:pPr>
        <w:pStyle w:val="Heading3"/>
      </w:pPr>
      <w:bookmarkStart w:id="59" w:name="lung-biopsy-and-bronchoalveolar-lavage"/>
      <w:r>
        <w:t xml:space="preserve">Lung biopsy and bronchoalveolar lavage</w:t>
      </w:r>
      <w:bookmarkEnd w:id="59"/>
    </w:p>
    <w:p>
      <w:pPr>
        <w:pStyle w:val="FirstParagraph"/>
      </w:pPr>
      <w:r>
        <w:t xml:space="preserve">The first report of fibrosis of the lung due to asbestos dust</w:t>
      </w:r>
      <w:r>
        <w:t xml:space="preserve">[62]</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on lung biopsy in the context of pulmonary fibrosis is clearly supportive of the diagnosis of asbestosis. However, a failure to demonstrate fibres can not be used to rule out asbestos exposure because fibres, particularly chrysotile fibres, may be cleared from the lung and counting methods have a significant false-negative rate.</w:t>
      </w:r>
      <w:r>
        <w:t xml:space="preserve">[57]</w:t>
      </w:r>
      <w:r>
        <w:t xml:space="preserve"> </w:t>
      </w:r>
      <w:r>
        <w:t xml:space="preserve">Despite this, recent 2014 Helsinki guidelines</w:t>
      </w:r>
      <w:r>
        <w:t xml:space="preserve">[63]</w:t>
      </w:r>
      <w:r>
        <w:t xml:space="preserve"> </w:t>
      </w:r>
      <w:r>
        <w:t xml:space="preserve">and UK Royal College of Pathologists guidelines</w:t>
      </w:r>
      <w:r>
        <w:t xml:space="preserve">[64]</w:t>
      </w:r>
      <w:r>
        <w:t xml:space="preserve"> </w:t>
      </w:r>
      <w:r>
        <w:t xml:space="preserve">appear to suggest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[65]</w:t>
      </w:r>
      <w:r>
        <w:t xml:space="preserve">[66]</w:t>
      </w:r>
      <w:r>
        <w:t xml:space="preserve">[67]</w:t>
      </w:r>
    </w:p>
    <w:p>
      <w:pPr>
        <w:pStyle w:val="BodyText"/>
      </w:pPr>
      <w:r>
        <w:t xml:space="preserve">Lung biopsy carries significant health risks, particularly for patients who already have compromised lung function and it can not be justified solely on medico-legal grounds.</w:t>
      </w:r>
      <w:r>
        <w:t xml:space="preserve">[66]</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[68]</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[69]</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[70]</w:t>
      </w:r>
    </w:p>
    <w:p>
      <w:pPr>
        <w:pStyle w:val="Heading3"/>
      </w:pPr>
      <w:bookmarkStart w:id="60" w:name="historic-workplace-measurements"/>
      <w:r>
        <w:t xml:space="preserve">Historic workplace measurements</w:t>
      </w:r>
      <w:bookmarkEnd w:id="60"/>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[71]</w:t>
      </w:r>
      <w:r>
        <w:t xml:space="preserve">, and EV@LUTIL</w:t>
      </w:r>
      <w:r>
        <w:t xml:space="preserve">[72]</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[73]</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[74]</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[75]</w:t>
      </w:r>
      <w:r>
        <w:t xml:space="preserve">[76]</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[77]</w:t>
      </w:r>
      <w:r>
        <w:t xml:space="preserve"> </w:t>
      </w:r>
      <w:r>
        <w:t xml:space="preserve">or skilled craftsmen.</w:t>
      </w:r>
      <w:r>
        <w:t xml:space="preserve">[78]</w:t>
      </w:r>
    </w:p>
    <w:p>
      <w:pPr>
        <w:pStyle w:val="Heading3"/>
      </w:pPr>
      <w:bookmarkStart w:id="61" w:name="exposure-reconstruction"/>
      <w:r>
        <w:t xml:space="preserve">Exposure reconstruction</w:t>
      </w:r>
      <w:bookmarkEnd w:id="61"/>
    </w:p>
    <w:p>
      <w:pPr>
        <w:pStyle w:val="FirstParagraph"/>
      </w:pPr>
      <w:r>
        <w:t xml:space="preserve">Sahmel et al</w:t>
      </w:r>
      <w:r>
        <w:t xml:space="preserve">[76]</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[76]</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2"/>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3" w:name="job-exposure-matrices"/>
      <w:r>
        <w:t xml:space="preserve">Job-exposure matrices</w:t>
      </w:r>
      <w:bookmarkEnd w:id="63"/>
    </w:p>
    <w:p>
      <w:pPr>
        <w:pStyle w:val="FirstParagraph"/>
      </w:pPr>
      <w:r>
        <w:t xml:space="preserve">Several job-exposure matrices that deal with asbestos have been reported. Pannett et al’s 1985 job-exposure matrix for use in population studies in England and Wales</w:t>
      </w:r>
      <w:r>
        <w:t xml:space="preserve">[79]</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w:t>
      </w:r>
      <w:r>
        <w:t xml:space="preserve">[68]</w:t>
      </w:r>
    </w:p>
    <w:p>
      <w:pPr>
        <w:pStyle w:val="BodyText"/>
      </w:pPr>
      <w:r>
        <w:t xml:space="preserve">DOM-JEM</w:t>
      </w:r>
      <w:r>
        <w:t xml:space="preserve">[80]</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[81]</w:t>
      </w:r>
    </w:p>
    <w:p>
      <w:pPr>
        <w:pStyle w:val="BodyText"/>
      </w:pPr>
      <w:r>
        <w:t xml:space="preserve">The Finish Information System on Occupational Exposure (FINJEM)</w:t>
      </w:r>
      <w:r>
        <w:t xml:space="preserve">[82]</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[81]</w:t>
      </w:r>
      <w:r>
        <w:t xml:space="preserve">[83]</w:t>
      </w:r>
    </w:p>
    <w:p>
      <w:pPr>
        <w:pStyle w:val="BodyText"/>
      </w:pPr>
      <w:r>
        <w:t xml:space="preserve">AsbJEM</w:t>
      </w:r>
      <w:r>
        <w:t xml:space="preserve">[84]</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[81]</w:t>
      </w:r>
    </w:p>
    <w:p>
      <w:pPr>
        <w:pStyle w:val="BodyText"/>
      </w:pPr>
      <w:r>
        <w:t xml:space="preserve">SYN-JEM</w:t>
      </w:r>
      <w:r>
        <w:t xml:space="preserve">[85]</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[86]</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[87]</w:t>
      </w:r>
      <w:r>
        <w:t xml:space="preserve">[88]</w:t>
      </w:r>
      <w:r>
        <w:t xml:space="preserve">[89]</w:t>
      </w:r>
    </w:p>
    <w:p>
      <w:pPr>
        <w:pStyle w:val="BodyText"/>
      </w:pPr>
      <w:r>
        <w:t xml:space="preserve">Orlowski et al</w:t>
      </w:r>
      <w:r>
        <w:t xml:space="preserve">[90]</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4" w:name="exposure-modelling-approaches"/>
      <w:r>
        <w:t xml:space="preserve">Exposure modelling approaches</w:t>
      </w:r>
      <w:bookmarkEnd w:id="64"/>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[75]</w:t>
      </w:r>
    </w:p>
    <w:p>
      <w:pPr>
        <w:pStyle w:val="BodyText"/>
      </w:pPr>
      <w:r>
        <w:t xml:space="preserve">A common conceptual framework for this is the source-receptor model</w:t>
      </w:r>
      <w:r>
        <w:t xml:space="preserve">[91]</w:t>
      </w:r>
      <w:r>
        <w:t xml:space="preserve">[75]</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[91]</w:t>
      </w:r>
      <w:r>
        <w:t xml:space="preserve">.</w:t>
      </w:r>
    </w:p>
    <w:p>
      <w:pPr>
        <w:pStyle w:val="BodyText"/>
      </w:pPr>
      <w:r>
        <w:t xml:space="preserve">In the hands of some hygienists, assessment of historic asbestos exposure based on interview can correlate well with amphibole fibre counts.</w:t>
      </w:r>
      <w:r>
        <w:t xml:space="preserve">[92]</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[93]</w:t>
      </w:r>
      <w:r>
        <w:t xml:space="preserve"> </w:t>
      </w:r>
      <w:r>
        <w:t xml:space="preserve">and, for example, room size and ventilation have been empirically shown to affect the concentration of airborne chemical exposures.</w:t>
      </w:r>
      <w:r>
        <w:t xml:space="preserve">[94]</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[58]</w:t>
      </w:r>
    </w:p>
    <w:p>
      <w:pPr>
        <w:pStyle w:val="BodyText"/>
      </w:pPr>
      <w:r>
        <w:t xml:space="preserve">A quantified, validated historic asbestos exposure model</w:t>
      </w:r>
      <w:r>
        <w:t xml:space="preserve">[86]</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5" w:name="self-reported-exposure"/>
      <w:r>
        <w:t xml:space="preserve">Self-reported exposure</w:t>
      </w:r>
      <w:bookmarkEnd w:id="65"/>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[95]</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[88]</w:t>
      </w:r>
      <w:r>
        <w:t xml:space="preserve">[93]</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[88]</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[88]</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6" w:name="discussion-2"/>
      <w:r>
        <w:t xml:space="preserve">Discussion</w:t>
      </w:r>
      <w:bookmarkEnd w:id="66"/>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[96]</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[89]</w:t>
      </w:r>
      <w:r>
        <w:t xml:space="preserve">[68]</w:t>
      </w:r>
      <w:r>
        <w:t xml:space="preserve"> </w:t>
      </w:r>
      <w:r>
        <w:t xml:space="preserve">Further and more generally, it is encouraging that estimates from explicit asbestos exposure modelling systems such as Cherrie et al’s</w:t>
      </w:r>
      <w:r>
        <w:t xml:space="preserve">[86]</w:t>
      </w:r>
      <w:r>
        <w:t xml:space="preserve">, show good correlation with measurement data.</w:t>
      </w:r>
    </w:p>
    <w:p>
      <w:pPr>
        <w:pStyle w:val="Heading2"/>
      </w:pPr>
      <w:bookmarkStart w:id="67" w:name="conclusion-2"/>
      <w:r>
        <w:t xml:space="preserve">Conclusion</w:t>
      </w:r>
      <w:bookmarkEnd w:id="67"/>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[75]</w:t>
      </w:r>
    </w:p>
    <w:p>
      <w:pPr>
        <w:pStyle w:val="Heading1"/>
      </w:pPr>
      <w:bookmarkStart w:id="68" w:name="muc5b-environmental-insult-ipf"/>
      <w:r>
        <w:t xml:space="preserve">MUC5b + environmental insult = IPF?</w:t>
      </w:r>
      <w:bookmarkEnd w:id="68"/>
    </w:p>
    <w:p>
      <w:pPr>
        <w:pStyle w:val="Heading2"/>
      </w:pPr>
      <w:bookmarkStart w:id="69" w:name="introduction-3"/>
      <w:r>
        <w:t xml:space="preserve">Introduction</w:t>
      </w:r>
      <w:bookmarkEnd w:id="69"/>
    </w:p>
    <w:p>
      <w:pPr>
        <w:pStyle w:val="Heading3"/>
      </w:pPr>
      <w:bookmarkStart w:id="70" w:name="Xa02557a6085d21ffefceae344fccdf48c8b1f12"/>
      <w:r>
        <w:t xml:space="preserve">Mucus, Mucins, MUC5b: structure, function and evolutionary importance</w:t>
      </w:r>
      <w:bookmarkEnd w:id="70"/>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[97]</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[97]</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[98]</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[99]</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[97]</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[100]</w:t>
      </w:r>
      <w:r>
        <w:t xml:space="preserve">[101]</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[100]</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[97]</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[101]</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[102]</w:t>
      </w:r>
      <w:r>
        <w:t xml:space="preserve"> </w:t>
      </w:r>
      <w:r>
        <w:t xml:space="preserve">Mucin hypersecretion may increase the concentration of solids up to 15% resulting in viscoelastic mucus that is not easily cleared.</w:t>
      </w:r>
      <w:r>
        <w:t xml:space="preserve">[103]</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[104]</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[101]</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[103]</w:t>
      </w:r>
    </w:p>
    <w:p>
      <w:pPr>
        <w:pStyle w:val="Heading3"/>
      </w:pPr>
      <w:bookmarkStart w:id="71" w:name="muc5b-rs3570950-and-respiratory-disease"/>
      <w:r>
        <w:t xml:space="preserve">MUC5b rs3570950 and respiratory disease</w:t>
      </w:r>
      <w:bookmarkEnd w:id="71"/>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[105]</w:t>
      </w:r>
      <w:r>
        <w:t xml:space="preserve"> </w:t>
      </w:r>
      <w:r>
        <w:t xml:space="preserve">and IPF. In COPD MUC5b expression occurs in more proximal airways, whereas in IPF it is localised to the bronchiole.</w:t>
      </w:r>
      <w:r>
        <w:t xml:space="preserve">[106]</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[107]</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[106]</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[108]</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[109]</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[110]</w:t>
      </w:r>
    </w:p>
    <w:p>
      <w:pPr>
        <w:pStyle w:val="Heading3"/>
      </w:pPr>
      <w:bookmarkStart w:id="72" w:name="X933759edeb8c3bac4ef762441c30d103069aa0e"/>
      <w:r>
        <w:t xml:space="preserve">Potential role of rs5270590 variant in IPF pathogenesis</w:t>
      </w:r>
      <w:bookmarkEnd w:id="72"/>
    </w:p>
    <w:p>
      <w:pPr>
        <w:pStyle w:val="FirstParagraph"/>
      </w:pPr>
      <w:r>
        <w:t xml:space="preserve">The rs5270590 variant is associated with a 34 fold increase in expression of MUC5b compared with wild type in healthy control populations and a 5 fold increase in patients with IPF (see figure 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3"/>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[111]</w:t>
      </w:r>
      <w:r>
        <w:t xml:space="preserve"> </w:t>
      </w:r>
      <w:r>
        <w:t xml:space="preserve">A transgenic muc5b mouse model of muc5b overexpression found that overexpression causes mucociliary dysfunction and enhances lung fibrosis in response to bleomycin.</w:t>
      </w:r>
      <w:r>
        <w:t xml:space="preserve">[112]</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[113]</w:t>
      </w:r>
      <w:r>
        <w:t xml:space="preserve">[114]</w:t>
      </w:r>
    </w:p>
    <w:p>
      <w:pPr>
        <w:pStyle w:val="Heading3"/>
      </w:pPr>
      <w:bookmarkStart w:id="74" w:name="infection-and-immunity"/>
      <w:r>
        <w:t xml:space="preserve">Infection and immunity</w:t>
      </w:r>
      <w:bookmarkEnd w:id="74"/>
    </w:p>
    <w:p>
      <w:pPr>
        <w:pStyle w:val="FirstParagraph"/>
      </w:pPr>
      <w:r>
        <w:t xml:space="preserve">The frequency of the disease associated allele at rs35705950 exceeds 10% in European populations</w:t>
      </w:r>
      <w:r>
        <w:t xml:space="preserve">[115]</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[104]</w:t>
      </w:r>
      <w:r>
        <w:t xml:space="preserve">[101]</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[116]</w:t>
      </w:r>
      <w:r>
        <w:t xml:space="preserve"> </w:t>
      </w:r>
      <w:r>
        <w:t xml:space="preserve">These finding are consistent with the observation that the rs35705950 variant is associated with improved survival in IPF.</w:t>
      </w:r>
      <w:r>
        <w:t xml:space="preserve">[117]</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[118]</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[119]</w:t>
      </w:r>
      <w:r>
        <w:t xml:space="preserve"> </w:t>
      </w:r>
      <w:r>
        <w:t xml:space="preserve">For example, it is known that the rs35705950 variant is associated with interstitial lung abnormalities.</w:t>
      </w:r>
      <w:r>
        <w:t xml:space="preserve">[120]</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[121]</w:t>
      </w:r>
      <w:r>
        <w:t xml:space="preserve"> </w:t>
      </w:r>
      <w:r>
        <w:t xml:space="preserve">to prolong survival in IPF, from a small (N = 181) double blinded randomized controlled study which found reduced symptom burden and improved survival associated with cotrimoxazole</w:t>
      </w:r>
      <w:r>
        <w:t xml:space="preserve">[122]</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[123]</w:t>
      </w:r>
      <w:r>
        <w:t xml:space="preserve"> </w:t>
      </w:r>
      <w:r>
        <w:t xml:space="preserve">and, intriguingly, in a mouse bleomycin lung fibrosis model the absence of a microbiome protected against mortality.</w:t>
      </w:r>
      <w:r>
        <w:t xml:space="preserve">[113]</w:t>
      </w:r>
    </w:p>
    <w:p>
      <w:pPr>
        <w:pStyle w:val="Heading3"/>
      </w:pPr>
      <w:bookmarkStart w:id="75" w:name="inorganic-occupational-stimuli"/>
      <w:r>
        <w:t xml:space="preserve">Inorganic occupational stimuli</w:t>
      </w:r>
      <w:bookmarkEnd w:id="75"/>
    </w:p>
    <w:p>
      <w:pPr>
        <w:pStyle w:val="FirstParagraph"/>
      </w:pPr>
      <w:r>
        <w:t xml:space="preserve">While the disease associated allele at rs35705950 exceeds 10% in European populations</w:t>
      </w:r>
      <w:r>
        <w:t xml:space="preserve">[115]</w:t>
      </w:r>
      <w:r>
        <w:t xml:space="preserve"> </w:t>
      </w:r>
      <w:r>
        <w:t xml:space="preserve">its penetrance is low; the median prevalence of IPF for men and women in Europe is approximately 3.75 per 100000 for the period 2001-2013</w:t>
      </w:r>
      <w:r>
        <w:t xml:space="preserve">[124]</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[125]</w:t>
      </w:r>
      <w:r>
        <w:t xml:space="preserve">[126]</w:t>
      </w:r>
      <w:r>
        <w:t xml:space="preserve"> </w:t>
      </w:r>
      <w:r>
        <w:t xml:space="preserve">It is also increased in a dose-dependent fashion in response to smoking.</w:t>
      </w:r>
      <w:r>
        <w:t xml:space="preserve">[127]</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[128]</w:t>
      </w:r>
      <w:r>
        <w:t xml:space="preserve"> </w:t>
      </w:r>
      <w:r>
        <w:t xml:space="preserve">Interestingly the NLRP3 inflammasome appears to be implicated, albeit with differing activation patterns</w:t>
      </w:r>
      <w:r>
        <w:t xml:space="preserve">[129]</w:t>
      </w:r>
      <w:r>
        <w:t xml:space="preserve">, in all of these conditions (IPF, silicosis, RA-ILD) and interaction between smoking (a risk factor for IPF) and the NLRP3 inflammasome is recognised.</w:t>
      </w:r>
      <w:r>
        <w:t xml:space="preserve">[130]</w:t>
      </w:r>
      <w:r>
        <w:t xml:space="preserve">[131]</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[132]</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6" w:name="conclusion-3"/>
      <w:r>
        <w:t xml:space="preserve">Conclusion</w:t>
      </w:r>
      <w:bookmarkEnd w:id="76"/>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77" w:name="X929117a601b44f8797fc0af9f6c6ddf458b7feb"/>
      <w:r>
        <w:t xml:space="preserve">Idiopathic pulmonary fibrosis job exposures study (IPFJES): Is occupational asbestos exposure an under-recognised cause of IPF?</w:t>
      </w:r>
      <w:bookmarkEnd w:id="77"/>
    </w:p>
    <w:p>
      <w:pPr>
        <w:pStyle w:val="Heading2"/>
      </w:pPr>
      <w:bookmarkStart w:id="78" w:name="introduction-4"/>
      <w:r>
        <w:t xml:space="preserve">Introduction</w:t>
      </w:r>
      <w:bookmarkEnd w:id="78"/>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 1). Patients having significant asbestos exposure, that would warrant a diagnosis of asbestosis, may go undetected because they do not recall exposure or because where they do recall exposure it is difficult to assess if it has been sufficient to have caused disease (chapter 4).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79" w:name="overview"/>
      <w:r>
        <w:t xml:space="preserve">Overview</w:t>
      </w:r>
      <w:bookmarkEnd w:id="79"/>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[133]</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0" w:name="method-3"/>
      <w:r>
        <w:t xml:space="preserve">Method</w:t>
      </w:r>
      <w:bookmarkEnd w:id="80"/>
    </w:p>
    <w:p>
      <w:pPr>
        <w:pStyle w:val="Heading3"/>
      </w:pPr>
      <w:bookmarkStart w:id="81" w:name="funding-approvals-and-registration"/>
      <w:r>
        <w:t xml:space="preserve">Funding, approvals, and registration</w:t>
      </w:r>
      <w:bookmarkEnd w:id="81"/>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2" w:name="selection"/>
      <w:r>
        <w:t xml:space="preserve">Selection</w:t>
      </w:r>
      <w:bookmarkEnd w:id="82"/>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[133]</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Heading3"/>
      </w:pPr>
      <w:bookmarkStart w:id="83" w:name="measures"/>
      <w:r>
        <w:t xml:space="preserve">Measures</w:t>
      </w:r>
      <w:bookmarkEnd w:id="83"/>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[134]</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[135]</w:t>
      </w:r>
      <w:r>
        <w:t xml:space="preserve"> </w:t>
      </w:r>
      <w:r>
        <w:t xml:space="preserve">Five main categories were used (See also Figure 6.1):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CaptionedFigure"/>
      </w:pPr>
      <w:r>
        <w:drawing>
          <wp:inline>
            <wp:extent cx="5334000" cy="6781661"/>
            <wp:effectExtent b="0" l="0" r="0" t="0"/>
            <wp:docPr descr="Classification of job categories with average national mesothelioma PMRs. Table 2.3.2 in Occupational, domestic and environmental mesothelioma risks in Britain. (HSE 2009)"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84"/>
                    <a:stretch>
                      <a:fillRect/>
                    </a:stretch>
                  </pic:blipFill>
                  <pic:spPr bwMode="auto">
                    <a:xfrm>
                      <a:off x="0" y="0"/>
                      <a:ext cx="5334000" cy="6781661"/>
                    </a:xfrm>
                    <a:prstGeom prst="rect">
                      <a:avLst/>
                    </a:prstGeom>
                    <a:noFill/>
                    <a:ln w="9525">
                      <a:noFill/>
                      <a:headEnd/>
                      <a:tailEnd/>
                    </a:ln>
                  </pic:spPr>
                </pic:pic>
              </a:graphicData>
            </a:graphic>
          </wp:inline>
        </w:drawing>
      </w:r>
    </w:p>
    <w:p>
      <w:pPr>
        <w:pStyle w:val="ImageCaption"/>
      </w:pPr>
      <w:r>
        <w:t xml:space="preserve">Classification of job categories with average national mesothelioma PMRs. Table 2.3.2 in Occupational, domestic and environmental mesothelioma risks in Britain. (HSE 2009)</w:t>
      </w:r>
    </w:p>
    <w:p>
      <w:pPr>
        <w:pStyle w:val="BodyText"/>
      </w:pPr>
      <w:r>
        <w:t xml:space="preserve">For participants who recalled carrying out work with asbestos a detailed assessment of each work task was recorded. A fibre-ml.year asbestos exposure (AE) estimate was calculated using a source-receptor model</w:t>
      </w:r>
      <w:r>
        <w:t xml:space="preserve">[58]</w:t>
      </w:r>
      <w:r>
        <w:t xml:space="preserve">[86]</w:t>
      </w:r>
      <w:r>
        <w:t xml:space="preserve">:</w:t>
      </w:r>
    </w:p>
    <w:p>
      <w:pPr>
        <w:pStyle w:val="BlockText"/>
      </w:pPr>
    </w:p>
    <w:p>
      <w:pPr>
        <w:pStyle w:val="FirstParagraph"/>
      </w:pPr>
      <w:r>
        <w:t xml:space="preserve">with parameters for the type of asbestos used (substance emission potential, E), what was done with it (activity emission potential, H), how well ventilated the room the activity was carried out in was (general ventilation parameters, D), and whether there were any local exposure controls, for example wetting (local controls, LC).</w:t>
      </w:r>
    </w:p>
    <w:p>
      <w:pPr>
        <w:pStyle w:val="BodyText"/>
      </w:pPr>
      <w:r>
        <w:t xml:space="preserve">AE for each task was then weighted according to the total amount of time spent performing the task to arrive at a task fibre-ml.year exposure estimate. Task fibre-ml.year exposure estimates were then summed at an individual participant level to provide an overall fibre-ml.year estimate. A random sample of high (top 25% of values), medium (25-75% centile), and low (bottom 25% of values) estimates was checked by a hygiene assessment expert who was blind to participant case status.</w:t>
      </w:r>
      <w:r>
        <w:t xml:space="preserve">[58]</w:t>
      </w:r>
      <w:r>
        <w:t xml:space="preserve">[86]</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5" w:name="statistical-analysis"/>
      <w:r>
        <w:t xml:space="preserve">Statistical analysis</w:t>
      </w:r>
      <w:bookmarkEnd w:id="85"/>
    </w:p>
    <w:p>
      <w:pPr>
        <w:pStyle w:val="FirstParagraph"/>
      </w:pPr>
      <w:r>
        <w:t xml:space="preserve">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analyses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[131]</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6" w:name="results-3"/>
      <w:r>
        <w:t xml:space="preserve">Results</w:t>
      </w:r>
      <w:bookmarkEnd w:id="86"/>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Heading3"/>
      </w:pPr>
      <w:bookmarkStart w:id="87" w:name="X137d49a98e7d4f1fa0d4887e6659ee908214ccc"/>
      <w:r>
        <w:t xml:space="preserve">Table 6.1: Participant demographic characteristics</w:t>
      </w:r>
      <w:bookmarkEnd w:id="87"/>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tc>
        <w:tc>
          <w:p/>
        </w:tc>
        <w:tc>
          <w:p/>
        </w:tc>
        <w:tc>
          <w:p/>
        </w:tc>
      </w:tr>
      <w:tr>
        <w:tc>
          <w:p>
            <w:pPr>
              <w:pStyle w:val="Compact"/>
              <w:jc w:val="left"/>
            </w:pPr>
            <w:r>
              <w:t xml:space="preserve">median</w:t>
            </w:r>
          </w:p>
        </w:tc>
        <w:tc>
          <w:p>
            <w:pPr>
              <w:pStyle w:val="Compact"/>
              <w:jc w:val="left"/>
            </w:pPr>
            <w:r>
              <w:t xml:space="preserve">76</w:t>
            </w:r>
          </w:p>
        </w:tc>
        <w:tc>
          <w:p/>
        </w:tc>
        <w:tc>
          <w:p>
            <w:pPr>
              <w:pStyle w:val="Compact"/>
              <w:jc w:val="left"/>
            </w:pPr>
            <w:r>
              <w:t xml:space="preserve">74</w:t>
            </w:r>
          </w:p>
        </w:tc>
        <w:tc>
          <w:p/>
        </w:tc>
      </w:tr>
      <w:tr>
        <w:tc>
          <w:p>
            <w:pPr>
              <w:pStyle w:val="Compact"/>
              <w:jc w:val="left"/>
            </w:pPr>
            <w:r>
              <w:t xml:space="preserve">interquartile range</w:t>
            </w:r>
          </w:p>
        </w:tc>
        <w:tc>
          <w:p>
            <w:pPr>
              <w:pStyle w:val="Compact"/>
              <w:jc w:val="left"/>
            </w:pPr>
            <w:r>
              <w:t xml:space="preserve">71-81</w:t>
            </w:r>
          </w:p>
        </w:tc>
        <w:tc>
          <w:p/>
        </w:tc>
        <w:tc>
          <w:p>
            <w:pPr>
              <w:pStyle w:val="Compact"/>
              <w:jc w:val="left"/>
            </w:pPr>
            <w:r>
              <w:t xml:space="preserve">69-79</w:t>
            </w:r>
          </w:p>
        </w:tc>
        <w:tc>
          <w:p/>
        </w:tc>
      </w:tr>
      <w:tr>
        <w:tc>
          <w:p/>
        </w:tc>
        <w:tc>
          <w:p/>
        </w:tc>
        <w:tc>
          <w:p/>
        </w:tc>
        <w:tc>
          <w:p/>
        </w:tc>
        <w:tc>
          <w:p/>
        </w:tc>
      </w:tr>
      <w:tr>
        <w:tc>
          <w:p>
            <w:pPr>
              <w:pStyle w:val="Compact"/>
              <w:jc w:val="left"/>
            </w:pPr>
            <w:r>
              <w:t xml:space="preserve">Ethnicity</w:t>
            </w:r>
          </w:p>
        </w:tc>
        <w:tc>
          <w:p/>
        </w:tc>
        <w:tc>
          <w:p/>
        </w:tc>
        <w:tc>
          <w:p/>
        </w:tc>
        <w:tc>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Social class</w:t>
            </w:r>
          </w:p>
        </w:tc>
        <w:tc>
          <w:p/>
        </w:tc>
        <w:tc>
          <w:p/>
        </w:tc>
        <w:tc>
          <w:p/>
        </w:tc>
        <w:tc>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tc>
        <w:tc>
          <w:p/>
        </w:tc>
        <w:tc>
          <w:p/>
        </w:tc>
        <w:tc>
          <w:p/>
        </w:tc>
        <w:tc>
          <w:p/>
        </w:tc>
      </w:tr>
      <w:tr>
        <w:tc>
          <w:p>
            <w:pPr>
              <w:pStyle w:val="Compact"/>
              <w:jc w:val="left"/>
            </w:pPr>
            <w:r>
              <w:t xml:space="preserve">Smoking</w:t>
            </w:r>
          </w:p>
        </w:tc>
        <w:tc>
          <w:p/>
        </w:tc>
        <w:tc>
          <w:p/>
        </w:tc>
        <w:tc>
          <w:p/>
        </w:tc>
        <w:tc>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tc>
        <w:tc>
          <w:p/>
        </w:tc>
        <w:tc>
          <w:p/>
        </w:tc>
        <w:tc>
          <w:p/>
        </w:tc>
      </w:tr>
      <w:tr>
        <w:tc>
          <w:p>
            <w:pPr>
              <w:pStyle w:val="Compact"/>
              <w:jc w:val="left"/>
            </w:pPr>
            <w:r>
              <w:t xml:space="preserve">mean</w:t>
            </w:r>
          </w:p>
        </w:tc>
        <w:tc>
          <w:p>
            <w:pPr>
              <w:pStyle w:val="Compact"/>
              <w:jc w:val="left"/>
            </w:pPr>
            <w:r>
              <w:t xml:space="preserve">27</w:t>
            </w:r>
          </w:p>
        </w:tc>
        <w:tc>
          <w:p/>
        </w:tc>
        <w:tc>
          <w:p>
            <w:pPr>
              <w:pStyle w:val="Compact"/>
              <w:jc w:val="left"/>
            </w:pPr>
            <w:r>
              <w:t xml:space="preserve">24</w:t>
            </w:r>
          </w:p>
        </w:tc>
        <w:tc>
          <w:p/>
        </w:tc>
      </w:tr>
      <w:tr>
        <w:tc>
          <w:p>
            <w:pPr>
              <w:pStyle w:val="Compact"/>
              <w:jc w:val="left"/>
            </w:pPr>
            <w:r>
              <w:t xml:space="preserve">median</w:t>
            </w:r>
          </w:p>
        </w:tc>
        <w:tc>
          <w:p>
            <w:pPr>
              <w:pStyle w:val="Compact"/>
              <w:jc w:val="left"/>
            </w:pPr>
            <w:r>
              <w:t xml:space="preserve">20</w:t>
            </w:r>
          </w:p>
        </w:tc>
        <w:tc>
          <w:p/>
        </w:tc>
        <w:tc>
          <w:p>
            <w:pPr>
              <w:pStyle w:val="Compact"/>
              <w:jc w:val="left"/>
            </w:pPr>
            <w:r>
              <w:t xml:space="preserve">19</w:t>
            </w:r>
          </w:p>
        </w:tc>
        <w:tc>
          <w:p/>
        </w:tc>
      </w:tr>
      <w:tr>
        <w:tc>
          <w:p>
            <w:pPr>
              <w:pStyle w:val="Compact"/>
              <w:jc w:val="left"/>
            </w:pPr>
            <w:r>
              <w:t xml:space="preserve">interquartile range</w:t>
            </w:r>
          </w:p>
        </w:tc>
        <w:tc>
          <w:p>
            <w:pPr>
              <w:pStyle w:val="Compact"/>
              <w:jc w:val="left"/>
            </w:pPr>
            <w:r>
              <w:t xml:space="preserve">9-36</w:t>
            </w:r>
          </w:p>
        </w:tc>
        <w:tc>
          <w:p/>
        </w:tc>
        <w:tc>
          <w:p>
            <w:pPr>
              <w:pStyle w:val="Compact"/>
              <w:jc w:val="left"/>
            </w:pPr>
            <w:r>
              <w:t xml:space="preserve">7-34</w:t>
            </w:r>
          </w:p>
        </w:tc>
        <w:tc>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88" w:name="Xb39ff35cadfc7b7c56d2ad6b72f6aa197ec2060"/>
      <w:r>
        <w:t xml:space="preserve">Table 6.2: Patient clinical features (from case report form) and genotypes</w:t>
      </w:r>
      <w:bookmarkEnd w:id="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tc>
        <w:tc>
          <w:p/>
        </w:tc>
        <w:tc>
          <w:p/>
        </w:tc>
        <w:tc>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tc>
        <w:tc>
          <w:p/>
        </w:tc>
        <w:tc>
          <w:p/>
        </w:tc>
        <w:tc>
          <w:p/>
        </w:tc>
        <w:tc>
          <w:p/>
        </w:tc>
      </w:tr>
      <w:tr>
        <w:tc>
          <w:p>
            <w:pPr>
              <w:pStyle w:val="Compact"/>
              <w:jc w:val="left"/>
            </w:pPr>
            <w:r>
              <w:t xml:space="preserve">Bx</w:t>
            </w:r>
          </w:p>
        </w:tc>
        <w:tc>
          <w:p/>
        </w:tc>
        <w:tc>
          <w:p/>
        </w:tc>
        <w:tc>
          <w:p/>
        </w:tc>
        <w:tc>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tc>
        <w:tc>
          <w:p/>
        </w:tc>
        <w:tc>
          <w:p/>
        </w:tc>
        <w:tc>
          <w:p/>
        </w:tc>
        <w:tc>
          <w:p/>
        </w:tc>
      </w:tr>
      <w:tr>
        <w:tc>
          <w:p>
            <w:pPr>
              <w:pStyle w:val="Compact"/>
              <w:jc w:val="left"/>
            </w:pPr>
            <w:r>
              <w:t xml:space="preserve">mMRC</w:t>
            </w:r>
          </w:p>
        </w:tc>
        <w:tc>
          <w:p/>
        </w:tc>
        <w:tc>
          <w:p/>
        </w:tc>
        <w:tc>
          <w:p/>
        </w:tc>
        <w:tc>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rs35705950 genotype</w:t>
            </w:r>
          </w:p>
        </w:tc>
        <w:tc>
          <w:p>
            <w:pPr>
              <w:pStyle w:val="Compact"/>
              <w:jc w:val="left"/>
            </w:pPr>
            <w:r>
              <w:t xml:space="preserve">N=395</w:t>
            </w:r>
          </w:p>
        </w:tc>
        <w:tc>
          <w:p/>
        </w:tc>
        <w:tc>
          <w:p>
            <w:pPr>
              <w:pStyle w:val="Compact"/>
              <w:jc w:val="left"/>
            </w:pPr>
            <w:r>
              <w:t xml:space="preserve">N=423</w:t>
            </w:r>
          </w:p>
        </w:tc>
        <w:tc>
          <w:p/>
        </w:tc>
      </w:tr>
      <w:tr>
        <w:tc>
          <w:p>
            <w:pPr>
              <w:pStyle w:val="Compact"/>
              <w:jc w:val="left"/>
            </w:pPr>
            <w:r>
              <w:t xml:space="preserve">(G;G)</w:t>
            </w:r>
          </w:p>
        </w:tc>
        <w:tc>
          <w:p>
            <w:pPr>
              <w:pStyle w:val="Compact"/>
              <w:jc w:val="left"/>
            </w:pPr>
            <w:r>
              <w:t xml:space="preserve">212</w:t>
            </w:r>
          </w:p>
        </w:tc>
        <w:tc>
          <w:p>
            <w:pPr>
              <w:pStyle w:val="Compact"/>
              <w:jc w:val="left"/>
            </w:pPr>
            <w:r>
              <w:t xml:space="preserve">54</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152</w:t>
            </w:r>
          </w:p>
        </w:tc>
        <w:tc>
          <w:p>
            <w:pPr>
              <w:pStyle w:val="Compact"/>
              <w:jc w:val="left"/>
            </w:pPr>
            <w:r>
              <w:t xml:space="preserve">38</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6.2.</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89"/>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0" w:name="X02d24f7a5c056f5b0fed51eaebbc65b2b3ec435"/>
      <w:r>
        <w:t xml:space="preserve">Table 6.3: Centre control clinics and recruitment</w:t>
      </w:r>
      <w:bookmarkEnd w:id="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tc>
        <w:tc>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Three hundred and thirty (67%) cases and 295 (63%) controls ever had a high or medium asbestos exposure risk job, defined on the basis of proportional occupational mortality statistics.</w:t>
      </w:r>
      <w:r>
        <w:t xml:space="preserve">[135]</w:t>
      </w:r>
      <w:r>
        <w:t xml:space="preserve"> </w:t>
      </w:r>
      <w:r>
        <w:t xml:space="preserve">Ever having a high or medium asbestos exposure risk job was not associated with IPF (see Table 6.4).</w:t>
      </w:r>
    </w:p>
    <w:p>
      <w:pPr>
        <w:pStyle w:val="Heading3"/>
      </w:pPr>
      <w:bookmarkStart w:id="91" w:name="Xfeb4e055ba1a94e7fbbc594370e57b052fa7dd3"/>
      <w:r>
        <w:t xml:space="preserve">Table 6.4: Occupational asbestos exposure (inferred by job title) and IPF risk (ever vs never)</w:t>
      </w:r>
      <w:bookmarkEnd w:id="91"/>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There was a non-statistically significant trend in the unadjusted OR whereby higher exposure categories had higher (non-significant) ORs for disease (see Table 6.5). This was less apparent in adjusted analyses (chi</w:t>
      </w:r>
      <w:r>
        <w:rPr>
          <w:vertAlign w:val="superscript"/>
        </w:rPr>
        <w:t xml:space="preserve">2</w:t>
      </w:r>
      <w:r>
        <w:t xml:space="preserve"> </w:t>
      </w:r>
      <w:r>
        <w:t xml:space="preserve">test for trend was 1.7, p=0.19).</w:t>
      </w:r>
    </w:p>
    <w:p>
      <w:pPr>
        <w:pStyle w:val="Heading3"/>
      </w:pPr>
      <w:bookmarkStart w:id="92" w:name="X531389f3994a3b73ec1944ce2260bfe953ca2ed"/>
      <w:r>
        <w:t xml:space="preserve">Table 6.5: Occupational asbestos exposure (inferred by job title) and IPF risk (categories of exposure)</w:t>
      </w:r>
      <w:bookmarkEnd w:id="92"/>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A total of 463 asbestos exposed job tasks were recalled in sufficient detail to permit a fibre-ml.year estimate of exposure for 233 individual participants. One hundred and twenty five (25%) of cases and 108 (23%) controls recalled occupational asbestos exposure in sufficient detail to permit estimation of cumulative fibre-ml.year exposure. Forty one (33%) cases and 35 (32%) controls, which equated to approximately 8% of the total number of cases and 8% of the total number of controls, had cumulative estimates exceeding 25 asbestos fibre-ml.years (see Table 6.6).</w:t>
      </w:r>
    </w:p>
    <w:p>
      <w:pPr>
        <w:pStyle w:val="BodyText"/>
      </w:pPr>
      <w:r>
        <w:t xml:space="preserve">Fibre-ml.year exposure assessments showed reasonable correlation on the log-scale, but not the linear scale, with an independent assessor (JC) for a validation sample of low, medium, and high exposure assessments, R</w:t>
      </w:r>
      <w:r>
        <w:rPr>
          <w:vertAlign w:val="superscript"/>
        </w:rPr>
        <w:t xml:space="preserve">2</w:t>
      </w:r>
      <w:r>
        <w:t xml:space="preserve"> </w:t>
      </w:r>
      <w:r>
        <w:t xml:space="preserve">= 0.63 (see Figure 6.3).</w:t>
      </w:r>
    </w:p>
    <w:p>
      <w:pPr>
        <w:pStyle w:val="CaptionedFigure"/>
      </w:pPr>
      <w:r>
        <w:drawing>
          <wp:inline>
            <wp:extent cx="5334000" cy="3384199"/>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3"/>
                    <a:stretch>
                      <a:fillRect/>
                    </a:stretch>
                  </pic:blipFill>
                  <pic:spPr bwMode="auto">
                    <a:xfrm>
                      <a:off x="0" y="0"/>
                      <a:ext cx="5334000" cy="3384199"/>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Heading3"/>
      </w:pPr>
      <w:bookmarkStart w:id="94" w:name="X074a090482a35f2c804c8fee224bf5968487245"/>
      <w:r>
        <w:t xml:space="preserve">Table 6.6: Occupational asbestos exposure (cumulative fibre ml year estimate) and IPF risk</w:t>
      </w:r>
      <w:bookmarkEnd w:id="9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125 (25)</w:t>
            </w:r>
          </w:p>
        </w:tc>
        <w:tc>
          <w:p>
            <w:pPr>
              <w:pStyle w:val="Compact"/>
              <w:jc w:val="left"/>
            </w:pPr>
            <w:r>
              <w:t xml:space="preserve">6.86</w:t>
            </w:r>
          </w:p>
        </w:tc>
        <w:tc>
          <w:p>
            <w:pPr>
              <w:pStyle w:val="Compact"/>
              <w:jc w:val="left"/>
            </w:pPr>
            <w:r>
              <w:t xml:space="preserve">62 (50)</w:t>
            </w:r>
          </w:p>
        </w:tc>
        <w:tc>
          <w:p>
            <w:pPr>
              <w:pStyle w:val="Compact"/>
              <w:jc w:val="left"/>
            </w:pPr>
            <w:r>
              <w:t xml:space="preserve">10 (8)</w:t>
            </w:r>
          </w:p>
        </w:tc>
        <w:tc>
          <w:p>
            <w:pPr>
              <w:pStyle w:val="Compact"/>
              <w:jc w:val="left"/>
            </w:pPr>
            <w:r>
              <w:t xml:space="preserve">8 (6)</w:t>
            </w:r>
          </w:p>
        </w:tc>
        <w:tc>
          <w:p>
            <w:pPr>
              <w:pStyle w:val="Compact"/>
              <w:jc w:val="left"/>
            </w:pPr>
            <w:r>
              <w:t xml:space="preserve">3 (2)</w:t>
            </w:r>
          </w:p>
        </w:tc>
        <w:tc>
          <w:p>
            <w:pPr>
              <w:pStyle w:val="Compact"/>
              <w:jc w:val="left"/>
            </w:pPr>
            <w:r>
              <w:t xml:space="preserve">4 (3)</w:t>
            </w:r>
          </w:p>
        </w:tc>
        <w:tc>
          <w:p>
            <w:pPr>
              <w:pStyle w:val="Compact"/>
              <w:jc w:val="left"/>
            </w:pPr>
            <w:r>
              <w:t xml:space="preserve">41 (33)</w:t>
            </w:r>
          </w:p>
        </w:tc>
      </w:tr>
      <w:tr>
        <w:tc>
          <w:p>
            <w:pPr>
              <w:pStyle w:val="Compact"/>
              <w:jc w:val="left"/>
            </w:pPr>
            <w:r>
              <w:t xml:space="preserve">controls</w:t>
            </w:r>
          </w:p>
        </w:tc>
        <w:tc>
          <w:p>
            <w:pPr>
              <w:pStyle w:val="Compact"/>
              <w:jc w:val="left"/>
            </w:pPr>
            <w:r>
              <w:t xml:space="preserve">108 (23)</w:t>
            </w:r>
          </w:p>
        </w:tc>
        <w:tc>
          <w:p>
            <w:pPr>
              <w:pStyle w:val="Compact"/>
              <w:jc w:val="left"/>
            </w:pPr>
            <w:r>
              <w:t xml:space="preserve">4.36</w:t>
            </w:r>
          </w:p>
        </w:tc>
        <w:tc>
          <w:p>
            <w:pPr>
              <w:pStyle w:val="Compact"/>
              <w:jc w:val="left"/>
            </w:pPr>
            <w:r>
              <w:t xml:space="preserve">56 (52)</w:t>
            </w:r>
          </w:p>
        </w:tc>
        <w:tc>
          <w:p>
            <w:pPr>
              <w:pStyle w:val="Compact"/>
              <w:jc w:val="left"/>
            </w:pPr>
            <w:r>
              <w:t xml:space="preserve">4 (4)</w:t>
            </w:r>
          </w:p>
        </w:tc>
        <w:tc>
          <w:p>
            <w:pPr>
              <w:pStyle w:val="Compact"/>
              <w:jc w:val="left"/>
            </w:pPr>
            <w:r>
              <w:t xml:space="preserve">5 (5)</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463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6.4 and 6.5).</w:t>
      </w:r>
    </w:p>
    <w:p>
      <w:pPr>
        <w:pStyle w:val="CaptionedFigure"/>
      </w:pPr>
      <w:r>
        <w:drawing>
          <wp:inline>
            <wp:extent cx="5087154" cy="4043966"/>
            <wp:effectExtent b="0" l="0" r="0" t="0"/>
            <wp:docPr descr="Proportion of exposed participants in fibre-ml.year categories of exposure for those reporting exposure (N=233)" title="" id="1" name="Picture"/>
            <a:graphic>
              <a:graphicData uri="http://schemas.openxmlformats.org/drawingml/2006/picture">
                <pic:pic>
                  <pic:nvPicPr>
                    <pic:cNvPr descr="source/figures/fibre.png" id="0" name="Picture"/>
                    <pic:cNvPicPr>
                      <a:picLocks noChangeArrowheads="1" noChangeAspect="1"/>
                    </pic:cNvPicPr>
                  </pic:nvPicPr>
                  <pic:blipFill>
                    <a:blip r:embed="rId95"/>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(N=233)</w:t>
      </w:r>
    </w:p>
    <w:p>
      <w:pPr>
        <w:pStyle w:val="CaptionedFigure"/>
      </w:pPr>
      <w:r>
        <w:drawing>
          <wp:inline>
            <wp:extent cx="5334000" cy="3213253"/>
            <wp:effectExtent b="0" l="0" r="0" t="0"/>
            <wp:docPr descr="Boxplot of fibre-ml.year asbestos exposure estimates for cases and controls for those reporting exposure (N=233)" title="" id="1" name="Picture"/>
            <a:graphic>
              <a:graphicData uri="http://schemas.openxmlformats.org/drawingml/2006/picture">
                <pic:pic>
                  <pic:nvPicPr>
                    <pic:cNvPr descr="source/figures/fibre2.png" id="0" name="Picture"/>
                    <pic:cNvPicPr>
                      <a:picLocks noChangeArrowheads="1" noChangeAspect="1"/>
                    </pic:cNvPicPr>
                  </pic:nvPicPr>
                  <pic:blipFill>
                    <a:blip r:embed="rId96"/>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(N=233)</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(GG)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6.7).</w:t>
      </w:r>
    </w:p>
    <w:p>
      <w:pPr>
        <w:pStyle w:val="Heading3"/>
      </w:pPr>
      <w:bookmarkStart w:id="97" w:name="X81d0f642bb4518fb71d15133ab1e3aba4f7c09e"/>
      <w:r>
        <w:t xml:space="preserve">Table 6.7: MUC5b rs35705950, occupational asbestos exposure, smoking, and IPF risk</w:t>
      </w:r>
      <w:bookmarkEnd w:id="9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1.5 (0.8-2.7;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w:t>
      </w:r>
    </w:p>
    <w:p>
      <w:pPr>
        <w:pStyle w:val="BodyText"/>
      </w:pPr>
      <w:r>
        <w:t xml:space="preserve">The regression coefficient for MUC5b rs35705950 genotype, using an additive model, was significant but age, smoking, asbestos exposure, and the interaction of asbestos exposure and genotype were not. See dot-and-whisker plot of regression coefficients (Figure 6.6).</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98"/>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6.8).</w:t>
      </w:r>
    </w:p>
    <w:p>
      <w:pPr>
        <w:pStyle w:val="Heading3"/>
      </w:pPr>
      <w:bookmarkStart w:id="99" w:name="X81883cd42f13e090c29cb26775631150ca5142d"/>
      <w:r>
        <w:t xml:space="preserve">Table 6.8: Occupational metal, wood, and stone exposure and IPF risk</w:t>
      </w:r>
      <w:bookmarkEnd w:id="99"/>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[69]</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6.9 and 6.10). I also performed sensitivity analyses limiting to jobs that started before 1980, participants born prior to 1965, and considering only jobs before age 45</w:t>
      </w:r>
      <w:r>
        <w:t xml:space="preserve">[54]</w:t>
      </w:r>
      <w:r>
        <w:t xml:space="preserve">; there was no significant association between asbestos exposure and IPF for these.</w:t>
      </w:r>
    </w:p>
    <w:p>
      <w:pPr>
        <w:pStyle w:val="Heading3"/>
      </w:pPr>
      <w:bookmarkStart w:id="100" w:name="X89459580306a5244ffed508efa009f9f14d8a2c"/>
      <w:r>
        <w:t xml:space="preserve">Table 6.9: Sensitivity analysis (limited to jobs that ended before 1980): Occupational asbestos exposure (inferred by job title) and IPF risk (ever vs never)</w:t>
      </w:r>
      <w:bookmarkEnd w:id="100"/>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1" w:name="X96abc6a3d595647217c5ee389662692e465a770"/>
      <w:r>
        <w:t xml:space="preserve">Table 6.10: Sensitivity analysis (limited to jobs that ended before 1980): Occupational asbestos exposure (inferred by job title) and IPF risk (categories of exposure)</w:t>
      </w:r>
      <w:bookmarkEnd w:id="101"/>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6.11 and 6.12 and Figure 6.7)</w:t>
      </w:r>
    </w:p>
    <w:p>
      <w:pPr>
        <w:pStyle w:val="Heading3"/>
      </w:pPr>
      <w:bookmarkStart w:id="102" w:name="X5215cec1bdc0044199605123ac5eee2d6e8e346"/>
      <w:r>
        <w:t xml:space="preserve">Table 6.11: Sensitivity analysis (limited to jobs that participants spent 5 or more years in): Occupational asbestos exposure (inferred by job title) and IPF risk (ever vs never)</w:t>
      </w:r>
      <w:bookmarkEnd w:id="102"/>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03" w:name="Xf8cf65ddba1a49e8594c32652bd2df0d4bf6d2d"/>
      <w:r>
        <w:t xml:space="preserve">Table 6.12: Sensitivity analysis (limited to jobs that participants spent 5 or more years in): Occupational asbestos exposure (inferred by job title) and IPF risk (categories of exposure)</w:t>
      </w:r>
      <w:bookmarkEnd w:id="10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04"/>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6.13 and 6.14).</w:t>
      </w:r>
    </w:p>
    <w:p>
      <w:pPr>
        <w:pStyle w:val="Heading3"/>
      </w:pPr>
      <w:bookmarkStart w:id="105" w:name="X4aeceadfdf52a996be79d28fc005f0be9b3b252"/>
      <w:r>
        <w:t xml:space="preserve">Table 6.13: Sensitivity analysis (limited to participants within 10km of the hospital): Occupational asbestos exposure (inferred by job title) and IPF risk (ever vs never)</w:t>
      </w:r>
      <w:bookmarkEnd w:id="105"/>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6" w:name="X360a39681b15a60d604f11c36b1162781805ef9"/>
      <w:r>
        <w:t xml:space="preserve">Table 6.14: Sensitivity analysis (limited to participants within 10km of the hospital): Occupational asbestos exposure (inferred by job title) and IPF risk (categories of exposure)</w:t>
      </w:r>
      <w:bookmarkEnd w:id="106"/>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of each job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Scores were then multiplied for each job by the duration in years of the job and then summed at participant level. See Table 6.15 and Figure 6.8.</w:t>
      </w:r>
    </w:p>
    <w:p>
      <w:pPr>
        <w:pStyle w:val="Heading3"/>
      </w:pPr>
      <w:bookmarkStart w:id="107" w:name="X85b85e20f52dd050dad6aefe56ba6d639a955ab"/>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bookmarkEnd w:id="10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08"/>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[134]</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6.16 and 6.17 for ordinal logistic regression results.</w:t>
      </w:r>
    </w:p>
    <w:p>
      <w:pPr>
        <w:pStyle w:val="Heading3"/>
      </w:pPr>
      <w:bookmarkStart w:id="109" w:name="X3495e69cbcb2c4602dd5aeb93e19056c229cc52"/>
      <w:r>
        <w:t xml:space="preserve">Table 6.16: Ordinal logistic regression for mMRC score and ever exposed to asbestos</w:t>
      </w:r>
      <w:bookmarkEnd w:id="10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0" w:name="Xa6ba050f99505aa2221fc470569d2800f7f8af4"/>
      <w:r>
        <w:t xml:space="preserve">Table 6.17: Ordinal logistic regression for mMRC score and for categories of asbestos exposure</w:t>
      </w:r>
      <w:bookmarkEnd w:id="11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then did genotyped cases who had exposure to asbestos or smoking alone. See Table 6.18.</w:t>
      </w:r>
    </w:p>
    <w:p>
      <w:pPr>
        <w:pStyle w:val="Heading3"/>
      </w:pPr>
      <w:bookmarkStart w:id="111" w:name="Xc20503786d3fe9e242b59eee16a3f4908285831"/>
      <w:r>
        <w:t xml:space="preserve">Table 6.18: rs35705950 MAF for genotyped cases, case subsets, and controls (N)</w:t>
      </w:r>
      <w:bookmarkEnd w:id="111"/>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6.19, 6.20, and 6.21.</w:t>
      </w:r>
    </w:p>
    <w:p>
      <w:pPr>
        <w:pStyle w:val="Heading3"/>
      </w:pPr>
      <w:bookmarkStart w:id="112" w:name="X5728fb2e866c30c2d963f52d3f90e33c6854f24"/>
      <w:r>
        <w:t xml:space="preserve">Table 6.19: Logistic regression of ever smoking and ever exposed to occupational asbestos (inferred by job title) stratified by MUC5B rs35705950 genotype</w:t>
      </w:r>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3" w:name="X65a8f4c3a383f96d6b615741889f0298cceae56"/>
      <w:r>
        <w:t xml:space="preserve">Table 6.20: Logistic regression of ever smoking stratified by MUC5B rs35705950 genotype</w:t>
      </w:r>
      <w:bookmarkEnd w:id="11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4" w:name="X451647d71c243b690002f31c92d4cde930e9fa9"/>
      <w:r>
        <w:t xml:space="preserve">Table 6.21: Logistic regression of ever having been exposed to occupational asbestos (inferred by job title) stratified by MUC5B rs35705950 genotype</w:t>
      </w:r>
      <w:bookmarkEnd w:id="114"/>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6.22. The association of ever smoking and ever having medium of high risk job for asbestos exposure with IPF risk was stronger when analysis was limited to include only cases with definite UIP, OR 8.56 (95%CI 2.39-30.69, p=0.001), see Table 6.23 and 6.24.</w:t>
      </w:r>
    </w:p>
    <w:p>
      <w:pPr>
        <w:pStyle w:val="Heading3"/>
      </w:pPr>
      <w:bookmarkStart w:id="115" w:name="X334d3b6cc861fb75fdac9d086a4e5aa167f9f0a"/>
      <w:r>
        <w:t xml:space="preserve">Table 6.22: Sensitivity analysis logistic regression of ever smoking and ever exposed to occupational asbestos (inferred by job title) radiology (definite UIP/possible UIP)</w:t>
      </w:r>
      <w:bookmarkEnd w:id="115"/>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16" w:name="X78feae376fb2c2f1f9255e133c32d3c00ecc88d"/>
      <w:r>
        <w:t xml:space="preserve">Table 6.23: Sensitivity analysis of possible UIP logistic regression of ever smoking and ever exposed to occupational asbestos (inferred by job title) stratified by MUC5B rs35705950 genotype</w:t>
      </w:r>
      <w:bookmarkEnd w:id="11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17" w:name="Xbeb4b99818d7e9130ff9acc187195e8029781d5"/>
      <w:r>
        <w:t xml:space="preserve">Table 6.24: Sensitivity analysis of definite UIP logistic regression of ever smoking and ever exposed to occupational asbestos (inferred by job title) stratified by MUC5B rs35705950 genotype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2"/>
      </w:pPr>
      <w:bookmarkStart w:id="118" w:name="discussion-3"/>
      <w:r>
        <w:t xml:space="preserve">Discussion</w:t>
      </w:r>
      <w:bookmarkEnd w:id="118"/>
    </w:p>
    <w:p>
      <w:pPr>
        <w:pStyle w:val="Heading3"/>
      </w:pPr>
      <w:bookmarkStart w:id="119" w:name="X5644aa163593e78c1e4688612befda647cb7c70"/>
      <w:r>
        <w:t xml:space="preserve">Findings, interpretation, implications, relations to others work, limitations, strengths</w:t>
      </w:r>
      <w:bookmarkEnd w:id="119"/>
    </w:p>
    <w:p>
      <w:pPr>
        <w:pStyle w:val="FirstParagraph"/>
      </w:pPr>
      <w:r>
        <w:t xml:space="preserve">Ever being exposed to an occupation at high or medium risk for asbestos exposure was common for both cases (67%) and controls (63%) and the difference in the proportion exposed between cases and controls was not significant (Table 6.4). A similar pattern was observed for categories of exposure (Table 6.5).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[63]</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6.7).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The strength of association between asbestos exposure and dyspnoea increased with increasing categories of asbestos exposure risk. 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6.19.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[63]</w:t>
      </w:r>
      <w:r>
        <w:t xml:space="preserve"> </w:t>
      </w:r>
      <w:r>
        <w:t xml:space="preserve">This criterion has been criticised for failing to reflect the linear dose-response relationship, and lack of threshold, observed in the published literature.</w:t>
      </w:r>
      <w:r>
        <w:t xml:space="preserve">[136]</w:t>
      </w:r>
      <w:r>
        <w:t xml:space="preserve">[137]</w:t>
      </w:r>
      <w:r>
        <w:t xml:space="preserve">[66]</w:t>
      </w:r>
      <w:r>
        <w:t xml:space="preserve"> </w:t>
      </w:r>
      <w:r>
        <w:t xml:space="preserve">Strictly, IPF is a diagnosis of exclusion that should not be made until exposures to asbestos, and other known causes of fibrosis, have been excluded.</w:t>
      </w:r>
      <w:r>
        <w:t xml:space="preserve">[133]</w:t>
      </w:r>
      <w:r>
        <w:t xml:space="preserve">[66]</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[69]</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[138]</w:t>
      </w:r>
      <w:r>
        <w:t xml:space="preserve"> </w:t>
      </w:r>
      <w:r>
        <w:t xml:space="preserve">and may not even be symptomatic since diagnostic criteria require evidence of scarring of the lungs and evidence of asbestos exposure but not the presence of symptoms.</w:t>
      </w:r>
      <w:r>
        <w:t xml:space="preserve">[63]</w:t>
      </w:r>
      <w:r>
        <w:t xml:space="preserve"> </w:t>
      </w:r>
      <w:r>
        <w:t xml:space="preserve">In this context a cut off below which exposure is unlikely to cause significant morbidity or mortality seems reasonable. Asbestosis can have a latency of upwards of 40 years</w:t>
      </w:r>
      <w:r>
        <w:t xml:space="preserve">[139]</w:t>
      </w:r>
      <w:r>
        <w:t xml:space="preserve"> </w:t>
      </w:r>
      <w:r>
        <w:t xml:space="preserve">and rates have not yet peaked in the UK.</w:t>
      </w:r>
      <w:r>
        <w:t xml:space="preserve">[140]</w:t>
      </w:r>
      <w:r>
        <w:t xml:space="preserve"> </w:t>
      </w:r>
      <w:r>
        <w:t xml:space="preserve">From 1900 until around 1960 (see Figure 6.9), when asbestos consumption in the United Kingdom peaked, the United Kingdom had the third highest per capita asbestos consumption in the world with only to the United States and later Australia having higher rates of consumption.</w:t>
      </w:r>
      <w:r>
        <w:t xml:space="preserve">[141]</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20"/>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[138]</w:t>
      </w:r>
      <w:r>
        <w:t xml:space="preserve"> </w:t>
      </w:r>
      <w:r>
        <w:t xml:space="preserve">In mouse studies cigarette smoke and asbestos exposure increase the production of reactive oxygen species that are thought to be important in the pathogenesis of asbestosis.</w:t>
      </w:r>
      <w:r>
        <w:t xml:space="preserve">[142]</w:t>
      </w:r>
      <w:r>
        <w:t xml:space="preserve"> </w:t>
      </w:r>
      <w:r>
        <w:t xml:space="preserve">I found evidence supporting an interaction between ever smoking and ever having a high or medium risk asbestos exposure job, OR 4.6 (95%CI 1.5-14, p=0.01) when stratifying for genotype, see Table 6.19.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[131]</w:t>
      </w:r>
      <w:r>
        <w:t xml:space="preserve">[143]</w:t>
      </w:r>
      <w:r>
        <w:t xml:space="preserve">[127]</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[144]</w:t>
      </w:r>
      <w:r>
        <w:t xml:space="preserve">[145]</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[146]</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[147]</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[109]</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[127]</w:t>
      </w:r>
      <w:r>
        <w:t xml:space="preserve">[19]</w:t>
      </w:r>
      <w:r>
        <w:t xml:space="preserve">[148]</w:t>
      </w:r>
      <w:r>
        <w:t xml:space="preserve"> </w:t>
      </w:r>
      <w:r>
        <w:t xml:space="preserve">Genetic variants in the NLRP3 inflammasome (e.g rs35829419) have been found to be associated asbestosis</w:t>
      </w:r>
      <w:r>
        <w:t xml:space="preserve">[149]</w:t>
      </w:r>
      <w:r>
        <w:t xml:space="preserve"> </w:t>
      </w:r>
      <w:r>
        <w:t xml:space="preserve">and coal workers pneumoconiosis</w:t>
      </w:r>
      <w:r>
        <w:t xml:space="preserve">[150]</w:t>
      </w:r>
      <w:r>
        <w:t xml:space="preserve">, and are likely to be important mediators of IPF risk due to inhaled particles. Of note, the lungs can also be an initiating site of rheumatoid arthritis.</w:t>
      </w:r>
      <w:r>
        <w:t xml:space="preserve">[151]</w:t>
      </w:r>
      <w:r>
        <w:t xml:space="preserve"> </w:t>
      </w:r>
      <w:r>
        <w:t xml:space="preserve">Occupational exposure to respirable crystalline silica is associated with an increased risk of rheumatoid arthritis in men</w:t>
      </w:r>
      <w:r>
        <w:t xml:space="preserve">[152]</w:t>
      </w:r>
      <w:r>
        <w:t xml:space="preserve">, and rheumatoid arthritis associated ILD (which causes UIP) is more common in men despite rheumatoid arthritis being more common in women.</w:t>
      </w:r>
      <w:r>
        <w:t xml:space="preserve">[153]</w:t>
      </w:r>
      <w:r>
        <w:t xml:space="preserve"> </w:t>
      </w:r>
      <w:r>
        <w:t xml:space="preserve">Genetic variants in the NLRP3 inflammasome (e.g rs35829419) have been found to be associated with increased risks of rheumatoid arthritis.</w:t>
      </w:r>
      <w:r>
        <w:t xml:space="preserve">[154]</w:t>
      </w:r>
    </w:p>
    <w:p>
      <w:pPr>
        <w:pStyle w:val="BodyText"/>
      </w:pPr>
      <w:r>
        <w:t xml:space="preserve">A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[155]</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[156]</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6.10</w:t>
      </w:r>
      <w:r>
        <w:t xml:space="preserve">[148]</w:t>
      </w:r>
      <w:r>
        <w:t xml:space="preserve"> </w:t>
      </w:r>
      <w:r>
        <w:t xml:space="preserve">and 6.11.</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21"/>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23" w:name="conclusion-4"/>
      <w:r>
        <w:t xml:space="preserve">Conclusion</w:t>
      </w:r>
      <w:bookmarkEnd w:id="123"/>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24" w:name="conclusion-5"/>
      <w:r>
        <w:t xml:space="preserve">Conclusion</w:t>
      </w:r>
      <w:bookmarkEnd w:id="124"/>
    </w:p>
    <w:p>
      <w:pPr>
        <w:pStyle w:val="Heading2"/>
      </w:pPr>
      <w:bookmarkStart w:id="125" w:name="thesis-summary"/>
      <w:r>
        <w:t xml:space="preserve">Thesis summary</w:t>
      </w:r>
      <w:bookmarkEnd w:id="125"/>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26" w:name="future-work"/>
      <w:r>
        <w:t xml:space="preserve">Future work</w:t>
      </w:r>
      <w:bookmarkEnd w:id="126"/>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[147]</w:t>
      </w:r>
      <w:r>
        <w:t xml:space="preserve">[157]</w:t>
      </w:r>
      <w:r>
        <w:t xml:space="preserve">[158]</w:t>
      </w:r>
      <w:r>
        <w:t xml:space="preserve">[159]</w:t>
      </w:r>
      <w:r>
        <w:t xml:space="preserve">[160]</w:t>
      </w:r>
    </w:p>
    <w:p>
      <w:pPr>
        <w:pStyle w:val="Heading1"/>
      </w:pPr>
      <w:bookmarkStart w:id="127" w:name="appendix-1-ipfjes-study-documentation"/>
      <w:r>
        <w:t xml:space="preserve">Appendix 1: IPFJES study documentation</w:t>
      </w:r>
      <w:bookmarkEnd w:id="127"/>
    </w:p>
    <w:p>
      <w:pPr>
        <w:pStyle w:val="FirstParagraph"/>
      </w:pPr>
      <w:hyperlink r:id="rId128">
        <w:r>
          <w:rPr>
            <w:rStyle w:val="Hyperlink"/>
          </w:rPr>
          <w:t xml:space="preserve">IPFJES study documentation</w:t>
        </w:r>
      </w:hyperlink>
    </w:p>
    <w:p>
      <w:pPr>
        <w:pStyle w:val="Heading1"/>
      </w:pPr>
      <w:bookmarkStart w:id="129" w:name="appendix-2-ipf-epidemiology-code"/>
      <w:r>
        <w:t xml:space="preserve">Appendix 2: IPF epidemiology code</w:t>
      </w:r>
      <w:bookmarkEnd w:id="129"/>
    </w:p>
    <w:p>
      <w:pPr>
        <w:pStyle w:val="FirstParagraph"/>
      </w:pPr>
      <w:hyperlink r:id="rId130">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31" w:name="appendix-3-ipfjes-meta-analysis-code"/>
      <w:r>
        <w:t xml:space="preserve">Appendix 3: IPFJES meta-analysis code</w:t>
      </w:r>
      <w:bookmarkEnd w:id="131"/>
    </w:p>
    <w:p>
      <w:pPr>
        <w:pStyle w:val="FirstParagraph"/>
      </w:pPr>
      <w:hyperlink r:id="rId132">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33" w:name="Xb634c6c68406662c87ee7c501b1ea3e2565a626"/>
      <w:r>
        <w:t xml:space="preserve">Appendix 4: IPFJES interview application code</w:t>
      </w:r>
      <w:bookmarkEnd w:id="133"/>
    </w:p>
    <w:p>
      <w:pPr>
        <w:pStyle w:val="FirstParagraph"/>
      </w:pPr>
      <w:hyperlink r:id="rId134">
        <w:r>
          <w:rPr>
            <w:rStyle w:val="Hyperlink"/>
          </w:rPr>
          <w:t xml:space="preserve">IPFJES interview application code</w:t>
        </w:r>
      </w:hyperlink>
    </w:p>
    <w:p>
      <w:pPr>
        <w:pStyle w:val="BlockText"/>
      </w:pPr>
      <w:r>
        <w:rPr>
          <w:b/>
        </w:rPr>
        <w:t xml:space="preserve">https://github.com/drcjar/ipfjes-interview/</w:t>
      </w:r>
    </w:p>
    <w:p>
      <w:pPr>
        <w:pStyle w:val="Heading1"/>
      </w:pPr>
      <w:bookmarkStart w:id="135" w:name="Xd2935fa5af0afa3eb42b96773242f73cd250a41"/>
      <w:r>
        <w:t xml:space="preserve">Appendix 5: IPFJES study website and analysis code</w:t>
      </w:r>
      <w:bookmarkEnd w:id="135"/>
    </w:p>
    <w:p>
      <w:pPr>
        <w:pStyle w:val="FirstParagraph"/>
      </w:pPr>
      <w:hyperlink r:id="rId136">
        <w:r>
          <w:rPr>
            <w:rStyle w:val="Hyperlink"/>
          </w:rPr>
          <w:t xml:space="preserve">IPFJES study analysis code</w:t>
        </w:r>
      </w:hyperlink>
    </w:p>
    <w:p>
      <w:pPr>
        <w:numPr>
          <w:numId w:val="1008"/>
          <w:ilvl w:val="0"/>
        </w:numPr>
      </w:pPr>
      <w:r>
        <w:t xml:space="preserve">diagrams.ipynb - script to generate diagrams for IPFJES study documentation</w:t>
      </w:r>
    </w:p>
    <w:p>
      <w:pPr>
        <w:numPr>
          <w:numId w:val="1008"/>
          <w:ilvl w:val="0"/>
        </w:numPr>
      </w:pPr>
      <w:r>
        <w:t xml:space="preserve">genotyping_prep.ipynb - script to calculate relevant dilutions required from extracted dna concentration data in order to make working stock for genotyping</w:t>
      </w:r>
    </w:p>
    <w:p>
      <w:pPr>
        <w:numPr>
          <w:numId w:val="1008"/>
          <w:ilvl w:val="0"/>
        </w:numPr>
      </w:pPr>
      <w:r>
        <w:t xml:space="preserve">genotype_cleaning.ipynb - genotype data cleaning</w:t>
      </w:r>
    </w:p>
    <w:p>
      <w:pPr>
        <w:numPr>
          <w:numId w:val="1008"/>
          <w:ilvl w:val="0"/>
        </w:numPr>
      </w:pPr>
      <w:r>
        <w:t xml:space="preserve">male-meso-pmr-1991-2000.ipynb - script to analyse male mesothelioma proportional mortality rate data</w:t>
      </w:r>
    </w:p>
    <w:p>
      <w:pPr>
        <w:numPr>
          <w:numId w:val="1008"/>
          <w:ilvl w:val="0"/>
        </w:numPr>
      </w:pPr>
      <w:r>
        <w:t xml:space="preserve">soc2000vol1extraction.ipynb - script to scrape SOC coding information from a PDF and make it machine readable</w:t>
      </w:r>
    </w:p>
    <w:p>
      <w:pPr>
        <w:numPr>
          <w:numId w:val="1009"/>
          <w:ilvl w:val="0"/>
        </w:numPr>
      </w:pPr>
      <w:r>
        <w:t xml:space="preserve">ipfjes-analysis-quality.ipynb - script to check quality of recorded IPFJES-interview data</w:t>
      </w:r>
    </w:p>
    <w:p>
      <w:pPr>
        <w:numPr>
          <w:numId w:val="1009"/>
          <w:ilvl w:val="0"/>
        </w:numPr>
      </w:pPr>
      <w:r>
        <w:t xml:space="preserve">ipfjes-analysis-centre-stats.ipynb - script to generate centre level statistics</w:t>
      </w:r>
    </w:p>
    <w:p>
      <w:pPr>
        <w:numPr>
          <w:numId w:val="1009"/>
          <w:ilvl w:val="0"/>
        </w:numPr>
      </w:pPr>
      <w:r>
        <w:t xml:space="preserve">ipfjes-analysis-centre-stats-detailed.ipynb - script to generate detailed centre level statistics</w:t>
      </w:r>
    </w:p>
    <w:p>
      <w:pPr>
        <w:numPr>
          <w:numId w:val="1009"/>
          <w:ilvl w:val="0"/>
        </w:numPr>
      </w:pPr>
      <w:r>
        <w:t xml:space="preserve">ipfjes-analysis-gp-letter.ipynb - script to automatically generate letters to be printed out and mailed to GPs to inform them of their patients participation</w:t>
      </w:r>
    </w:p>
    <w:p>
      <w:pPr>
        <w:numPr>
          <w:numId w:val="1009"/>
          <w:ilvl w:val="0"/>
        </w:numPr>
      </w:pPr>
      <w:r>
        <w:t xml:space="preserve">ipfjes-analysis-cpms.ipynb - script to automatically generate required study data upload for the NIHR The Central Portfolio Management System (CPMS)</w:t>
      </w:r>
    </w:p>
    <w:p>
      <w:pPr>
        <w:numPr>
          <w:numId w:val="1009"/>
          <w:ilvl w:val="0"/>
        </w:numPr>
      </w:pPr>
      <w:r>
        <w:t xml:space="preserve">ipfjes-analysis - 1.ipynb - main analysis script, data preparation and analysis at job task level, job level, participant level</w:t>
      </w:r>
    </w:p>
    <w:p>
      <w:pPr>
        <w:numPr>
          <w:numId w:val="1009"/>
          <w:ilvl w:val="0"/>
        </w:numPr>
      </w:pPr>
      <w:r>
        <w:t xml:space="preserve">ipfjes-analysis - 2.ipynb - logistic regressions</w:t>
      </w:r>
    </w:p>
    <w:p>
      <w:pPr>
        <w:numPr>
          <w:numId w:val="1009"/>
          <w:ilvl w:val="0"/>
        </w:numPr>
      </w:pPr>
      <w:r>
        <w:t xml:space="preserve">ipfjes-analysis - 3.ipynb - logistic regressions (gene-environment interactions)</w:t>
      </w:r>
    </w:p>
    <w:p>
      <w:pPr>
        <w:numPr>
          <w:numId w:val="1009"/>
          <w:ilvl w:val="0"/>
        </w:numPr>
      </w:pPr>
      <w:r>
        <w:t xml:space="preserve">ipfjes-analysis - 4.ipynb - regression coefficient plots</w:t>
      </w:r>
    </w:p>
    <w:p>
      <w:pPr>
        <w:numPr>
          <w:numId w:val="1009"/>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36">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37" w:name="references"/>
      <w:r>
        <w:t xml:space="preserve">References</w:t>
      </w:r>
      <w:bookmarkEnd w:id="137"/>
    </w:p>
    <w:bookmarkStart w:id="401" w:name="refs"/>
    <w:bookmarkStart w:id="138"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38"/>
    <w:bookmarkStart w:id="140"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39">
        <w:r>
          <w:rPr>
            <w:rStyle w:val="Hyperlink"/>
          </w:rPr>
          <w:t xml:space="preserve">10.1164/rccm.201902-0467LE</w:t>
        </w:r>
      </w:hyperlink>
    </w:p>
    <w:bookmarkEnd w:id="140"/>
    <w:bookmarkStart w:id="142"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41">
        <w:r>
          <w:rPr>
            <w:rStyle w:val="Hyperlink"/>
          </w:rPr>
          <w:t xml:space="preserve">10.1016/j.ccm.2011.11.002</w:t>
        </w:r>
      </w:hyperlink>
    </w:p>
    <w:bookmarkEnd w:id="142"/>
    <w:bookmarkStart w:id="143"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43"/>
    <w:bookmarkStart w:id="144"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44"/>
    <w:bookmarkStart w:id="146"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45">
        <w:r>
          <w:rPr>
            <w:rStyle w:val="Hyperlink"/>
          </w:rPr>
          <w:t xml:space="preserve">10.1513/AnnalsATS.201404-145OC</w:t>
        </w:r>
      </w:hyperlink>
    </w:p>
    <w:bookmarkEnd w:id="146"/>
    <w:bookmarkStart w:id="147"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47"/>
    <w:bookmarkStart w:id="149"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48">
        <w:r>
          <w:rPr>
            <w:rStyle w:val="Hyperlink"/>
          </w:rPr>
          <w:t xml:space="preserve">10.1183/09031936.00077309</w:t>
        </w:r>
      </w:hyperlink>
    </w:p>
    <w:bookmarkEnd w:id="149"/>
    <w:bookmarkStart w:id="150"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50"/>
    <w:bookmarkStart w:id="152"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51">
        <w:r>
          <w:rPr>
            <w:rStyle w:val="Hyperlink"/>
          </w:rPr>
          <w:t xml:space="preserve">10.1002/path.1711470206</w:t>
        </w:r>
      </w:hyperlink>
    </w:p>
    <w:bookmarkEnd w:id="152"/>
    <w:bookmarkStart w:id="154"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53">
        <w:r>
          <w:rPr>
            <w:rStyle w:val="Hyperlink"/>
          </w:rPr>
          <w:t xml:space="preserve">10.1148/radiol.2293020668</w:t>
        </w:r>
      </w:hyperlink>
    </w:p>
    <w:bookmarkEnd w:id="154"/>
    <w:bookmarkStart w:id="156"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55">
        <w:r>
          <w:rPr>
            <w:rStyle w:val="Hyperlink"/>
          </w:rPr>
          <w:t xml:space="preserve">10.1080/00039896.1990.9936714</w:t>
        </w:r>
      </w:hyperlink>
    </w:p>
    <w:bookmarkEnd w:id="156"/>
    <w:bookmarkStart w:id="157"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57"/>
    <w:bookmarkStart w:id="158"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58"/>
    <w:bookmarkStart w:id="159"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59"/>
    <w:bookmarkStart w:id="161"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60">
        <w:r>
          <w:rPr>
            <w:rStyle w:val="Hyperlink"/>
          </w:rPr>
          <w:t xml:space="preserve">10.1371/journal.pone.0058658</w:t>
        </w:r>
      </w:hyperlink>
    </w:p>
    <w:bookmarkEnd w:id="161"/>
    <w:bookmarkStart w:id="163"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62">
        <w:r>
          <w:rPr>
            <w:rStyle w:val="Hyperlink"/>
          </w:rPr>
          <w:t xml:space="preserve">10.1152/physrev.00004.2016</w:t>
        </w:r>
      </w:hyperlink>
    </w:p>
    <w:bookmarkEnd w:id="163"/>
    <w:bookmarkStart w:id="165" w:name="ref-Platenburg2020"/>
    <w:p>
      <w:pPr>
        <w:pStyle w:val="Bibliography"/>
      </w:pPr>
      <w:r>
        <w:t xml:space="preserve">18 Platenburg MGJP, Wiertz IA, Vis JJ van der</w:t>
      </w:r>
      <w:r>
        <w:t xml:space="preserve"> </w:t>
      </w:r>
      <w:r>
        <w:rPr>
          <w:i/>
        </w:rPr>
        <w:t xml:space="preserve">et al.</w:t>
      </w:r>
      <w:r>
        <w:t xml:space="preserve"> </w:t>
      </w:r>
      <w:r>
        <w:t xml:space="preserve">The muc5b promoter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64">
        <w:r>
          <w:rPr>
            <w:rStyle w:val="Hyperlink"/>
          </w:rPr>
          <w:t xml:space="preserve">10.1183/13993003.02361-2019</w:t>
        </w:r>
      </w:hyperlink>
    </w:p>
    <w:bookmarkEnd w:id="165"/>
    <w:bookmarkStart w:id="167"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66">
        <w:r>
          <w:rPr>
            <w:rStyle w:val="Hyperlink"/>
          </w:rPr>
          <w:t xml:space="preserve">10.1126/science.1156995</w:t>
        </w:r>
      </w:hyperlink>
    </w:p>
    <w:bookmarkEnd w:id="167"/>
    <w:bookmarkStart w:id="168"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68"/>
    <w:bookmarkStart w:id="169"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69"/>
    <w:bookmarkStart w:id="170"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70"/>
    <w:bookmarkStart w:id="171"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71"/>
    <w:bookmarkStart w:id="172"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72"/>
    <w:bookmarkStart w:id="174"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73">
        <w:r>
          <w:rPr>
            <w:rStyle w:val="Hyperlink"/>
          </w:rPr>
          <w:t xml:space="preserve">10.1097/MCP.0000000000000144</w:t>
        </w:r>
      </w:hyperlink>
    </w:p>
    <w:bookmarkEnd w:id="174"/>
    <w:bookmarkStart w:id="176"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75">
        <w:r>
          <w:rPr>
            <w:rStyle w:val="Hyperlink"/>
          </w:rPr>
          <w:t xml:space="preserve">10.1164/rccm.201904-0717ST</w:t>
        </w:r>
      </w:hyperlink>
    </w:p>
    <w:bookmarkEnd w:id="176"/>
    <w:bookmarkStart w:id="178"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77">
        <w:r>
          <w:rPr>
            <w:rStyle w:val="Hyperlink"/>
          </w:rPr>
          <w:t xml:space="preserve">10.1093/nar/gkp353</w:t>
        </w:r>
      </w:hyperlink>
    </w:p>
    <w:bookmarkEnd w:id="178"/>
    <w:bookmarkStart w:id="179" w:name="ref-Reynolds2017pubmed"/>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 2017.</w:t>
      </w:r>
    </w:p>
    <w:bookmarkEnd w:id="179"/>
    <w:bookmarkStart w:id="181"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80">
        <w:r>
          <w:rPr>
            <w:rStyle w:val="Hyperlink"/>
          </w:rPr>
          <w:t xml:space="preserve">10.1016/j.envint.2019.105039</w:t>
        </w:r>
      </w:hyperlink>
    </w:p>
    <w:bookmarkEnd w:id="181"/>
    <w:bookmarkStart w:id="182"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182"/>
    <w:bookmarkStart w:id="184"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183">
        <w:r>
          <w:rPr>
            <w:rStyle w:val="Hyperlink"/>
          </w:rPr>
          <w:t xml:space="preserve">10.1164/ajrccm.150.3.8087336</w:t>
        </w:r>
      </w:hyperlink>
    </w:p>
    <w:bookmarkEnd w:id="184"/>
    <w:bookmarkStart w:id="185"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185"/>
    <w:bookmarkStart w:id="186"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186"/>
    <w:bookmarkStart w:id="187"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187"/>
    <w:bookmarkStart w:id="188"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188"/>
    <w:bookmarkStart w:id="18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Ann Occup Hyg</w:t>
      </w:r>
      <w:r>
        <w:t xml:space="preserve"> </w:t>
      </w:r>
      <w:r>
        <w:t xml:space="preserve">2005;</w:t>
      </w:r>
      <w:r>
        <w:rPr>
          <w:b/>
        </w:rPr>
        <w:t xml:space="preserve">49</w:t>
      </w:r>
      <w:r>
        <w:t xml:space="preserve">:259–65.</w:t>
      </w:r>
    </w:p>
    <w:bookmarkEnd w:id="189"/>
    <w:bookmarkStart w:id="19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190"/>
    <w:bookmarkStart w:id="19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191"/>
    <w:bookmarkStart w:id="192" w:name="ref-Garcia-SanchoFigueroa2010"/>
    <w:p>
      <w:pPr>
        <w:pStyle w:val="Bibliography"/>
      </w:pPr>
      <w:r>
        <w:t xml:space="preserve">39 Garcı́a-Sancho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192"/>
    <w:bookmarkStart w:id="19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193">
        <w:r>
          <w:rPr>
            <w:rStyle w:val="Hyperlink"/>
          </w:rPr>
          <w:t xml:space="preserve">10.1016/j.rmed.2011.08.022</w:t>
        </w:r>
      </w:hyperlink>
    </w:p>
    <w:bookmarkEnd w:id="194"/>
    <w:bookmarkStart w:id="19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195"/>
    <w:bookmarkStart w:id="19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196"/>
    <w:bookmarkStart w:id="19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197"/>
    <w:bookmarkStart w:id="19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198">
        <w:r>
          <w:rPr>
            <w:rStyle w:val="Hyperlink"/>
          </w:rPr>
          <w:t xml:space="preserve">10.5588/ijtld.16.0167</w:t>
        </w:r>
      </w:hyperlink>
    </w:p>
    <w:bookmarkEnd w:id="199"/>
    <w:bookmarkStart w:id="20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00">
        <w:r>
          <w:rPr>
            <w:rStyle w:val="Hyperlink"/>
          </w:rPr>
          <w:t xml:space="preserve">10.1186/s12890-018-0644-2</w:t>
        </w:r>
      </w:hyperlink>
    </w:p>
    <w:bookmarkEnd w:id="201"/>
    <w:bookmarkStart w:id="20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02"/>
    <w:bookmarkStart w:id="20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03"/>
    <w:bookmarkStart w:id="20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04">
        <w:r>
          <w:rPr>
            <w:rStyle w:val="Hyperlink"/>
          </w:rPr>
          <w:t xml:space="preserve">10.1183/16000617.0040-2015</w:t>
        </w:r>
      </w:hyperlink>
    </w:p>
    <w:bookmarkEnd w:id="205"/>
    <w:bookmarkStart w:id="20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06"/>
    <w:bookmarkStart w:id="20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07">
        <w:r>
          <w:rPr>
            <w:rStyle w:val="Hyperlink"/>
          </w:rPr>
          <w:t xml:space="preserve">10.1038/sj.bjc.6604879</w:t>
        </w:r>
      </w:hyperlink>
    </w:p>
    <w:bookmarkEnd w:id="208"/>
    <w:bookmarkStart w:id="209" w:name="ref-van1995python"/>
    <w:p>
      <w:pPr>
        <w:pStyle w:val="Bibliography"/>
      </w:pPr>
      <w:r>
        <w:t xml:space="preserve">51 Van Rossum G, Drake Jr FL.</w:t>
      </w:r>
      <w:r>
        <w:t xml:space="preserve"> </w:t>
      </w:r>
      <w:r>
        <w:rPr>
          <w:i/>
        </w:rPr>
        <w:t xml:space="preserve">Python reference manual</w:t>
      </w:r>
      <w:r>
        <w:t xml:space="preserve">. Centrum voor Wiskunde en Informatica Amsterdam 1995.</w:t>
      </w:r>
      <w:r>
        <w:t xml:space="preserve"> </w:t>
      </w:r>
    </w:p>
    <w:bookmarkEnd w:id="209"/>
    <w:bookmarkStart w:id="211" w:name="ref-2020SciPy-NMeth"/>
    <w:p>
      <w:pPr>
        <w:pStyle w:val="Bibliography"/>
      </w:pPr>
      <w:r>
        <w:t xml:space="preserve">52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10">
        <w:r>
          <w:rPr>
            <w:rStyle w:val="Hyperlink"/>
          </w:rPr>
          <w:t xml:space="preserve">https://doi.org/10.1038/s41592-019-0686-2</w:t>
        </w:r>
      </w:hyperlink>
    </w:p>
    <w:bookmarkEnd w:id="211"/>
    <w:bookmarkStart w:id="212" w:name="ref-seabold2010statsmodels"/>
    <w:p>
      <w:pPr>
        <w:pStyle w:val="Bibliography"/>
      </w:pPr>
      <w:r>
        <w:t xml:space="preserve">53 Seabold S, Perktold J. Statsmodels: Econometric and statistical modeling with python. In:</w:t>
      </w:r>
      <w:r>
        <w:t xml:space="preserve"> </w:t>
      </w:r>
      <w:r>
        <w:rPr>
          <w:i/>
        </w:rPr>
        <w:t xml:space="preserve">9th python in science conference</w:t>
      </w:r>
      <w:r>
        <w:t xml:space="preserve">. 2010.</w:t>
      </w:r>
      <w:r>
        <w:t xml:space="preserve"> </w:t>
      </w:r>
    </w:p>
    <w:bookmarkEnd w:id="212"/>
    <w:bookmarkStart w:id="213" w:name="ref-Darnton2012"/>
    <w:p>
      <w:pPr>
        <w:pStyle w:val="Bibliography"/>
      </w:pPr>
      <w:r>
        <w:t xml:space="preserve">54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13"/>
    <w:bookmarkStart w:id="214" w:name="ref-Wells2013"/>
    <w:p>
      <w:pPr>
        <w:pStyle w:val="Bibliography"/>
      </w:pPr>
      <w:r>
        <w:t xml:space="preserve">55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14"/>
    <w:bookmarkStart w:id="215" w:name="ref-Mossman2011"/>
    <w:p>
      <w:pPr>
        <w:pStyle w:val="Bibliography"/>
      </w:pPr>
      <w:r>
        <w:t xml:space="preserve">56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15"/>
    <w:bookmarkStart w:id="216" w:name="ref-DeVuyst1998"/>
    <w:p>
      <w:pPr>
        <w:pStyle w:val="Bibliography"/>
      </w:pPr>
      <w:r>
        <w:t xml:space="preserve">57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16"/>
    <w:bookmarkStart w:id="217" w:name="ref-Cherrie1999"/>
    <w:p>
      <w:pPr>
        <w:pStyle w:val="Bibliography"/>
      </w:pPr>
      <w:r>
        <w:t xml:space="preserve">58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17"/>
    <w:bookmarkStart w:id="219" w:name="ref-Imbernon1995"/>
    <w:p>
      <w:pPr>
        <w:pStyle w:val="Bibliography"/>
      </w:pPr>
      <w:r>
        <w:t xml:space="preserve">59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18">
        <w:r>
          <w:rPr>
            <w:rStyle w:val="Hyperlink"/>
          </w:rPr>
          <w:t xml:space="preserve">10.1002/ajim.4700280304</w:t>
        </w:r>
      </w:hyperlink>
    </w:p>
    <w:bookmarkEnd w:id="219"/>
    <w:bookmarkStart w:id="220" w:name="ref-Burdorf1999"/>
    <w:p>
      <w:pPr>
        <w:pStyle w:val="Bibliography"/>
      </w:pPr>
      <w:r>
        <w:t xml:space="preserve">60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20"/>
    <w:bookmarkStart w:id="222" w:name="ref-Nemery2017"/>
    <w:p>
      <w:pPr>
        <w:pStyle w:val="Bibliography"/>
      </w:pPr>
      <w:r>
        <w:t xml:space="preserve">61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21">
        <w:r>
          <w:rPr>
            <w:rStyle w:val="Hyperlink"/>
          </w:rPr>
          <w:t xml:space="preserve">10.1183/13993003.00861-2017</w:t>
        </w:r>
      </w:hyperlink>
    </w:p>
    <w:bookmarkEnd w:id="222"/>
    <w:bookmarkStart w:id="223" w:name="ref-Cooke1924"/>
    <w:p>
      <w:pPr>
        <w:pStyle w:val="Bibliography"/>
      </w:pPr>
      <w:r>
        <w:t xml:space="preserve">62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23"/>
    <w:bookmarkStart w:id="225" w:name="ref-Wolff2015"/>
    <w:p>
      <w:pPr>
        <w:pStyle w:val="Bibliography"/>
      </w:pPr>
      <w:r>
        <w:t xml:space="preserve">63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24">
        <w:r>
          <w:rPr>
            <w:rStyle w:val="Hyperlink"/>
          </w:rPr>
          <w:t xml:space="preserve">10.5271/sjweh.3462</w:t>
        </w:r>
      </w:hyperlink>
    </w:p>
    <w:bookmarkEnd w:id="225"/>
    <w:bookmarkStart w:id="226" w:name="ref-Williamson2017"/>
    <w:p>
      <w:pPr>
        <w:pStyle w:val="Bibliography"/>
      </w:pPr>
      <w:r>
        <w:t xml:space="preserve">64 Williamson L. Guidelines on autopsy practice industrial/occupational-related lung disease deaths including asbestos june 2017. 2017.</w:t>
      </w:r>
    </w:p>
    <w:bookmarkEnd w:id="226"/>
    <w:bookmarkStart w:id="228" w:name="ref-Hammar2015"/>
    <w:p>
      <w:pPr>
        <w:pStyle w:val="Bibliography"/>
      </w:pPr>
      <w:r>
        <w:t xml:space="preserve">65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27">
        <w:r>
          <w:rPr>
            <w:rStyle w:val="Hyperlink"/>
          </w:rPr>
          <w:t xml:space="preserve">10.1002/ajim.22512</w:t>
        </w:r>
      </w:hyperlink>
    </w:p>
    <w:bookmarkEnd w:id="228"/>
    <w:bookmarkStart w:id="230" w:name="ref-Baur2016"/>
    <w:p>
      <w:pPr>
        <w:pStyle w:val="Bibliography"/>
      </w:pPr>
      <w:r>
        <w:t xml:space="preserve">66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29">
        <w:r>
          <w:rPr>
            <w:rStyle w:val="Hyperlink"/>
          </w:rPr>
          <w:t xml:space="preserve">10.1002/ajim.22595</w:t>
        </w:r>
      </w:hyperlink>
    </w:p>
    <w:bookmarkEnd w:id="230"/>
    <w:bookmarkStart w:id="232" w:name="ref-Baur2017"/>
    <w:p>
      <w:pPr>
        <w:pStyle w:val="Bibliography"/>
      </w:pPr>
      <w:r>
        <w:t xml:space="preserve">67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31">
        <w:r>
          <w:rPr>
            <w:rStyle w:val="Hyperlink"/>
          </w:rPr>
          <w:t xml:space="preserve">10.1002/ajim.22709</w:t>
        </w:r>
      </w:hyperlink>
    </w:p>
    <w:bookmarkEnd w:id="232"/>
    <w:bookmarkStart w:id="234" w:name="ref-Gilham2016"/>
    <w:p>
      <w:pPr>
        <w:pStyle w:val="Bibliography"/>
      </w:pPr>
      <w:r>
        <w:t xml:space="preserve">68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33">
        <w:r>
          <w:rPr>
            <w:rStyle w:val="Hyperlink"/>
          </w:rPr>
          <w:t xml:space="preserve">10.1136/oemed-2015-103074</w:t>
        </w:r>
      </w:hyperlink>
    </w:p>
    <w:bookmarkEnd w:id="234"/>
    <w:bookmarkStart w:id="235" w:name="ref-Gilham2018"/>
    <w:p>
      <w:pPr>
        <w:pStyle w:val="Bibliography"/>
      </w:pPr>
      <w:r>
        <w:t xml:space="preserve">69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35"/>
    <w:bookmarkStart w:id="237" w:name="ref-Nuyts2017"/>
    <w:p>
      <w:pPr>
        <w:pStyle w:val="Bibliography"/>
      </w:pPr>
      <w:r>
        <w:t xml:space="preserve">70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36">
        <w:r>
          <w:rPr>
            <w:rStyle w:val="Hyperlink"/>
          </w:rPr>
          <w:t xml:space="preserve">10.1136/oemed-2016-103710</w:t>
        </w:r>
      </w:hyperlink>
    </w:p>
    <w:bookmarkEnd w:id="237"/>
    <w:bookmarkStart w:id="238" w:name="ref-Burns1989"/>
    <w:p>
      <w:pPr>
        <w:pStyle w:val="Bibliography"/>
      </w:pPr>
      <w:r>
        <w:t xml:space="preserve">71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38"/>
    <w:bookmarkStart w:id="240" w:name="ref-Orlowski2015"/>
    <w:p>
      <w:pPr>
        <w:pStyle w:val="Bibliography"/>
      </w:pPr>
      <w:r>
        <w:t xml:space="preserve">72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39">
        <w:r>
          <w:rPr>
            <w:rStyle w:val="Hyperlink"/>
          </w:rPr>
          <w:t xml:space="preserve">10.1002/ajim.22498</w:t>
        </w:r>
      </w:hyperlink>
    </w:p>
    <w:bookmarkEnd w:id="240"/>
    <w:bookmarkStart w:id="241" w:name="ref-Peto1985"/>
    <w:p>
      <w:pPr>
        <w:pStyle w:val="Bibliography"/>
      </w:pPr>
      <w:r>
        <w:t xml:space="preserve">73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41"/>
    <w:bookmarkStart w:id="243" w:name="ref-ATSDR2001"/>
    <w:p>
      <w:pPr>
        <w:pStyle w:val="Bibliography"/>
      </w:pPr>
      <w:r>
        <w:t xml:space="preserve">74 Toxic Substances A for, (ATSDR). DR. Agency for toxic substances and disease registry (atsdr). 2001. Toxicological profile for asbestos. U.S. Department of Health; Human Services, Public Health Service. 2001.</w:t>
      </w:r>
      <w:r>
        <w:t xml:space="preserve"> </w:t>
      </w:r>
      <w:hyperlink r:id="rId242">
        <w:r>
          <w:rPr>
            <w:rStyle w:val="Hyperlink"/>
          </w:rPr>
          <w:t xml:space="preserve">https://www.atsdr.cdc.gov/toxprofiles/TP.asp?id=30&amp;tid=4#bookmark16</w:t>
        </w:r>
      </w:hyperlink>
    </w:p>
    <w:bookmarkEnd w:id="243"/>
    <w:bookmarkStart w:id="244" w:name="ref-Smith1991"/>
    <w:p>
      <w:pPr>
        <w:pStyle w:val="Bibliography"/>
      </w:pPr>
      <w:r>
        <w:t xml:space="preserve">75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44"/>
    <w:bookmarkStart w:id="246" w:name="ref-Sahmel2010"/>
    <w:p>
      <w:pPr>
        <w:pStyle w:val="Bibliography"/>
      </w:pPr>
      <w:r>
        <w:t xml:space="preserve">76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45">
        <w:r>
          <w:rPr>
            <w:rStyle w:val="Hyperlink"/>
          </w:rPr>
          <w:t xml:space="preserve">10.3109/10408444.2010.501052</w:t>
        </w:r>
      </w:hyperlink>
    </w:p>
    <w:bookmarkEnd w:id="246"/>
    <w:bookmarkStart w:id="248" w:name="ref-Blake2006"/>
    <w:p>
      <w:pPr>
        <w:pStyle w:val="Bibliography"/>
      </w:pPr>
      <w:r>
        <w:t xml:space="preserve">77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47">
        <w:r>
          <w:rPr>
            <w:rStyle w:val="Hyperlink"/>
          </w:rPr>
          <w:t xml:space="preserve">10.1016/j.yrtph.2006.04.007</w:t>
        </w:r>
      </w:hyperlink>
    </w:p>
    <w:bookmarkEnd w:id="248"/>
    <w:bookmarkStart w:id="250" w:name="ref-Williams2007"/>
    <w:p>
      <w:pPr>
        <w:pStyle w:val="Bibliography"/>
      </w:pPr>
      <w:r>
        <w:t xml:space="preserve">78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49">
        <w:r>
          <w:rPr>
            <w:rStyle w:val="Hyperlink"/>
          </w:rPr>
          <w:t xml:space="preserve">10.1080/10937400601034191</w:t>
        </w:r>
      </w:hyperlink>
    </w:p>
    <w:bookmarkEnd w:id="250"/>
    <w:bookmarkStart w:id="251" w:name="ref-Pannett1985"/>
    <w:p>
      <w:pPr>
        <w:pStyle w:val="Bibliography"/>
      </w:pPr>
      <w:r>
        <w:t xml:space="preserve">79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51"/>
    <w:bookmarkStart w:id="253" w:name="ref-Peters2011"/>
    <w:p>
      <w:pPr>
        <w:pStyle w:val="Bibliography"/>
      </w:pPr>
      <w:r>
        <w:t xml:space="preserve">80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52">
        <w:r>
          <w:rPr>
            <w:rStyle w:val="Hyperlink"/>
          </w:rPr>
          <w:t xml:space="preserve">10.1136/oem.2010.055608</w:t>
        </w:r>
      </w:hyperlink>
    </w:p>
    <w:bookmarkEnd w:id="253"/>
    <w:bookmarkStart w:id="255" w:name="ref-Offermans2012"/>
    <w:p>
      <w:pPr>
        <w:pStyle w:val="Bibliography"/>
      </w:pPr>
      <w:r>
        <w:t xml:space="preserve">81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54">
        <w:r>
          <w:rPr>
            <w:rStyle w:val="Hyperlink"/>
          </w:rPr>
          <w:t xml:space="preserve">10.1136/oemed-2011-100556</w:t>
        </w:r>
      </w:hyperlink>
    </w:p>
    <w:bookmarkEnd w:id="255"/>
    <w:bookmarkStart w:id="256" w:name="ref-Kauppinen1998"/>
    <w:p>
      <w:pPr>
        <w:pStyle w:val="Bibliography"/>
      </w:pPr>
      <w:r>
        <w:t xml:space="preserve">82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56"/>
    <w:bookmarkStart w:id="258" w:name="ref-Offermans2014"/>
    <w:p>
      <w:pPr>
        <w:pStyle w:val="Bibliography"/>
      </w:pPr>
      <w:r>
        <w:t xml:space="preserve">83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57">
        <w:r>
          <w:rPr>
            <w:rStyle w:val="Hyperlink"/>
          </w:rPr>
          <w:t xml:space="preserve">10.1097/JOM.0000000000000060</w:t>
        </w:r>
      </w:hyperlink>
    </w:p>
    <w:bookmarkEnd w:id="258"/>
    <w:bookmarkStart w:id="260" w:name="ref-Oyen2015"/>
    <w:p>
      <w:pPr>
        <w:pStyle w:val="Bibliography"/>
      </w:pPr>
      <w:r>
        <w:t xml:space="preserve">84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59">
        <w:r>
          <w:rPr>
            <w:rStyle w:val="Hyperlink"/>
          </w:rPr>
          <w:t xml:space="preserve">10.1093/annhyg/mev017</w:t>
        </w:r>
      </w:hyperlink>
    </w:p>
    <w:bookmarkEnd w:id="260"/>
    <w:bookmarkStart w:id="262" w:name="ref-Peters2016"/>
    <w:p>
      <w:pPr>
        <w:pStyle w:val="Bibliography"/>
      </w:pPr>
      <w:r>
        <w:t xml:space="preserve">85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61">
        <w:r>
          <w:rPr>
            <w:rStyle w:val="Hyperlink"/>
          </w:rPr>
          <w:t xml:space="preserve">10.1093/annhyg/mew034</w:t>
        </w:r>
      </w:hyperlink>
    </w:p>
    <w:bookmarkEnd w:id="262"/>
    <w:bookmarkStart w:id="264" w:name="ref-Cherrie2018"/>
    <w:p>
      <w:pPr>
        <w:pStyle w:val="Bibliography"/>
      </w:pPr>
      <w:r>
        <w:t xml:space="preserve">86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63">
        <w:r>
          <w:rPr>
            <w:rStyle w:val="Hyperlink"/>
          </w:rPr>
          <w:t xml:space="preserve">10.1016/j.ijheh.2017.09.013</w:t>
        </w:r>
      </w:hyperlink>
    </w:p>
    <w:bookmarkEnd w:id="264"/>
    <w:bookmarkStart w:id="265" w:name="ref-Ahrens1993"/>
    <w:p>
      <w:pPr>
        <w:pStyle w:val="Bibliography"/>
      </w:pPr>
      <w:r>
        <w:t xml:space="preserve">87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65"/>
    <w:bookmarkStart w:id="266" w:name="ref-Teschke2002"/>
    <w:p>
      <w:pPr>
        <w:pStyle w:val="Bibliography"/>
      </w:pPr>
      <w:r>
        <w:t xml:space="preserve">88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66"/>
    <w:bookmarkStart w:id="268" w:name="ref-Gramond2012"/>
    <w:p>
      <w:pPr>
        <w:pStyle w:val="Bibliography"/>
      </w:pPr>
      <w:r>
        <w:t xml:space="preserve">89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67">
        <w:r>
          <w:rPr>
            <w:rStyle w:val="Hyperlink"/>
          </w:rPr>
          <w:t xml:space="preserve">10.1002/ajim.22008</w:t>
        </w:r>
      </w:hyperlink>
    </w:p>
    <w:bookmarkEnd w:id="268"/>
    <w:bookmarkStart w:id="269" w:name="ref-Orlowski1993"/>
    <w:p>
      <w:pPr>
        <w:pStyle w:val="Bibliography"/>
      </w:pPr>
      <w:r>
        <w:t xml:space="preserve">90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69"/>
    <w:bookmarkStart w:id="271" w:name="ref-Tielemans2008"/>
    <w:p>
      <w:pPr>
        <w:pStyle w:val="Bibliography"/>
      </w:pPr>
      <w:r>
        <w:t xml:space="preserve">91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70">
        <w:r>
          <w:rPr>
            <w:rStyle w:val="Hyperlink"/>
          </w:rPr>
          <w:t xml:space="preserve">10.1093/annhyg/men059</w:t>
        </w:r>
      </w:hyperlink>
    </w:p>
    <w:bookmarkEnd w:id="271"/>
    <w:bookmarkStart w:id="272" w:name="ref-Rodelsperger2001"/>
    <w:p>
      <w:pPr>
        <w:pStyle w:val="Bibliography"/>
      </w:pPr>
      <w:r>
        <w:t xml:space="preserve">92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72"/>
    <w:bookmarkStart w:id="274" w:name="ref-Symanski2006"/>
    <w:p>
      <w:pPr>
        <w:pStyle w:val="Bibliography"/>
      </w:pPr>
      <w:r>
        <w:t xml:space="preserve">93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273">
        <w:r>
          <w:rPr>
            <w:rStyle w:val="Hyperlink"/>
          </w:rPr>
          <w:t xml:space="preserve">10.1093/annhyg/mel006</w:t>
        </w:r>
      </w:hyperlink>
    </w:p>
    <w:bookmarkEnd w:id="274"/>
    <w:bookmarkStart w:id="276" w:name="ref-Cherrie1999a"/>
    <w:p>
      <w:pPr>
        <w:pStyle w:val="Bibliography"/>
      </w:pPr>
      <w:r>
        <w:t xml:space="preserve">94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275">
        <w:r>
          <w:rPr>
            <w:rStyle w:val="Hyperlink"/>
          </w:rPr>
          <w:t xml:space="preserve">10.1080/104732299302530</w:t>
        </w:r>
      </w:hyperlink>
    </w:p>
    <w:bookmarkEnd w:id="276"/>
    <w:bookmarkStart w:id="277" w:name="ref-Teschke2000"/>
    <w:p>
      <w:pPr>
        <w:pStyle w:val="Bibliography"/>
      </w:pPr>
      <w:r>
        <w:t xml:space="preserve">95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277"/>
    <w:bookmarkStart w:id="279" w:name="ref-Burstyn2011"/>
    <w:p>
      <w:pPr>
        <w:pStyle w:val="Bibliography"/>
      </w:pPr>
      <w:r>
        <w:t xml:space="preserve">96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278">
        <w:r>
          <w:rPr>
            <w:rStyle w:val="Hyperlink"/>
          </w:rPr>
          <w:t xml:space="preserve">10.1136/oem.2009.054585</w:t>
        </w:r>
      </w:hyperlink>
    </w:p>
    <w:bookmarkEnd w:id="279"/>
    <w:bookmarkStart w:id="281" w:name="ref-Bakshani2018"/>
    <w:p>
      <w:pPr>
        <w:pStyle w:val="Bibliography"/>
      </w:pPr>
      <w:r>
        <w:t xml:space="preserve">97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280">
        <w:r>
          <w:rPr>
            <w:rStyle w:val="Hyperlink"/>
          </w:rPr>
          <w:t xml:space="preserve">10.1038/s41522-018-0057-2</w:t>
        </w:r>
      </w:hyperlink>
    </w:p>
    <w:bookmarkEnd w:id="281"/>
    <w:bookmarkStart w:id="283" w:name="ref-Dubaissi2018"/>
    <w:p>
      <w:pPr>
        <w:pStyle w:val="Bibliography"/>
      </w:pPr>
      <w:r>
        <w:t xml:space="preserve">98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282">
        <w:r>
          <w:rPr>
            <w:rStyle w:val="Hyperlink"/>
          </w:rPr>
          <w:t xml:space="preserve">10.1073/pnas.1713539115</w:t>
        </w:r>
      </w:hyperlink>
    </w:p>
    <w:bookmarkEnd w:id="283"/>
    <w:bookmarkStart w:id="285" w:name="ref-Kufe2009"/>
    <w:p>
      <w:pPr>
        <w:pStyle w:val="Bibliography"/>
      </w:pPr>
      <w:r>
        <w:t xml:space="preserve">99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284">
        <w:r>
          <w:rPr>
            <w:rStyle w:val="Hyperlink"/>
          </w:rPr>
          <w:t xml:space="preserve">10.1038/nrc2761</w:t>
        </w:r>
      </w:hyperlink>
    </w:p>
    <w:bookmarkEnd w:id="285"/>
    <w:bookmarkStart w:id="287" w:name="ref-Linden2008"/>
    <w:p>
      <w:pPr>
        <w:pStyle w:val="Bibliography"/>
      </w:pPr>
      <w:r>
        <w:t xml:space="preserve">100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286">
        <w:r>
          <w:rPr>
            <w:rStyle w:val="Hyperlink"/>
          </w:rPr>
          <w:t xml:space="preserve">10.1038/mi.2008.5</w:t>
        </w:r>
      </w:hyperlink>
    </w:p>
    <w:bookmarkEnd w:id="287"/>
    <w:bookmarkStart w:id="289" w:name="ref-Jaramillo2018"/>
    <w:p>
      <w:pPr>
        <w:pStyle w:val="Bibliography"/>
      </w:pPr>
      <w:r>
        <w:t xml:space="preserve">101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288">
        <w:r>
          <w:rPr>
            <w:rStyle w:val="Hyperlink"/>
          </w:rPr>
          <w:t xml:space="preserve">10.1513/AnnalsATS.201806-371AW</w:t>
        </w:r>
      </w:hyperlink>
    </w:p>
    <w:bookmarkEnd w:id="289"/>
    <w:bookmarkStart w:id="291" w:name="ref-Boucher2019"/>
    <w:p>
      <w:pPr>
        <w:pStyle w:val="Bibliography"/>
      </w:pPr>
      <w:r>
        <w:t xml:space="preserve">102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290">
        <w:r>
          <w:rPr>
            <w:rStyle w:val="Hyperlink"/>
          </w:rPr>
          <w:t xml:space="preserve">10.1056/NEJMra1813799</w:t>
        </w:r>
      </w:hyperlink>
    </w:p>
    <w:bookmarkEnd w:id="291"/>
    <w:bookmarkStart w:id="293" w:name="ref-Fahy2010"/>
    <w:p>
      <w:pPr>
        <w:pStyle w:val="Bibliography"/>
      </w:pPr>
      <w:r>
        <w:t xml:space="preserve">103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292">
        <w:r>
          <w:rPr>
            <w:rStyle w:val="Hyperlink"/>
          </w:rPr>
          <w:t xml:space="preserve">10.1056/NEJMra0910061</w:t>
        </w:r>
      </w:hyperlink>
    </w:p>
    <w:bookmarkEnd w:id="293"/>
    <w:bookmarkStart w:id="295" w:name="ref-Dickey2017"/>
    <w:p>
      <w:pPr>
        <w:pStyle w:val="Bibliography"/>
      </w:pPr>
      <w:r>
        <w:t xml:space="preserve">104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294">
        <w:r>
          <w:rPr>
            <w:rStyle w:val="Hyperlink"/>
          </w:rPr>
          <w:t xml:space="preserve">10.1165/rcmb.2017-0116ED</w:t>
        </w:r>
      </w:hyperlink>
    </w:p>
    <w:bookmarkEnd w:id="295"/>
    <w:bookmarkStart w:id="297" w:name="ref-Kesimer2017"/>
    <w:p>
      <w:pPr>
        <w:pStyle w:val="Bibliography"/>
      </w:pPr>
      <w:r>
        <w:t xml:space="preserve">105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296">
        <w:r>
          <w:rPr>
            <w:rStyle w:val="Hyperlink"/>
          </w:rPr>
          <w:t xml:space="preserve">10.1056/NEJMoa1701632</w:t>
        </w:r>
      </w:hyperlink>
    </w:p>
    <w:bookmarkEnd w:id="297"/>
    <w:bookmarkStart w:id="299" w:name="ref-Helling2017"/>
    <w:p>
      <w:pPr>
        <w:pStyle w:val="Bibliography"/>
      </w:pPr>
      <w:r>
        <w:t xml:space="preserve">106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298">
        <w:r>
          <w:rPr>
            <w:rStyle w:val="Hyperlink"/>
          </w:rPr>
          <w:t xml:space="preserve">10.1165/rcmb.2017-0046OC</w:t>
        </w:r>
      </w:hyperlink>
    </w:p>
    <w:bookmarkEnd w:id="299"/>
    <w:bookmarkStart w:id="301" w:name="ref-Fingerlin2013"/>
    <w:p>
      <w:pPr>
        <w:pStyle w:val="Bibliography"/>
      </w:pPr>
      <w:r>
        <w:t xml:space="preserve">107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00">
        <w:r>
          <w:rPr>
            <w:rStyle w:val="Hyperlink"/>
          </w:rPr>
          <w:t xml:space="preserve">10.1038/ng.2609</w:t>
        </w:r>
      </w:hyperlink>
    </w:p>
    <w:bookmarkEnd w:id="301"/>
    <w:bookmarkStart w:id="303" w:name="ref-Selman2006"/>
    <w:p>
      <w:pPr>
        <w:pStyle w:val="Bibliography"/>
      </w:pPr>
      <w:r>
        <w:t xml:space="preserve">108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02">
        <w:r>
          <w:rPr>
            <w:rStyle w:val="Hyperlink"/>
          </w:rPr>
          <w:t xml:space="preserve">10.1164/rccm.200504-644OC</w:t>
        </w:r>
      </w:hyperlink>
    </w:p>
    <w:bookmarkEnd w:id="303"/>
    <w:bookmarkStart w:id="305" w:name="ref-Namba2019"/>
    <w:p>
      <w:pPr>
        <w:pStyle w:val="Bibliography"/>
      </w:pPr>
      <w:r>
        <w:t xml:space="preserve">109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04">
        <w:r>
          <w:rPr>
            <w:rStyle w:val="Hyperlink"/>
          </w:rPr>
          <w:t xml:space="preserve">10.1136/annrheumdis-2018-214263</w:t>
        </w:r>
      </w:hyperlink>
    </w:p>
    <w:bookmarkEnd w:id="305"/>
    <w:bookmarkStart w:id="307" w:name="ref-Adegunsoye2019"/>
    <w:p>
      <w:pPr>
        <w:pStyle w:val="Bibliography"/>
      </w:pPr>
      <w:r>
        <w:t xml:space="preserve">110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06">
        <w:r>
          <w:rPr>
            <w:rStyle w:val="Hyperlink"/>
          </w:rPr>
          <w:t xml:space="preserve">10.1016/j.chest.2018.12.011</w:t>
        </w:r>
      </w:hyperlink>
    </w:p>
    <w:bookmarkEnd w:id="307"/>
    <w:bookmarkStart w:id="309" w:name="ref-Roy2014"/>
    <w:p>
      <w:pPr>
        <w:pStyle w:val="Bibliography"/>
      </w:pPr>
      <w:r>
        <w:t xml:space="preserve">111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08">
        <w:r>
          <w:rPr>
            <w:rStyle w:val="Hyperlink"/>
          </w:rPr>
          <w:t xml:space="preserve">10.1038/nature12807</w:t>
        </w:r>
      </w:hyperlink>
    </w:p>
    <w:bookmarkEnd w:id="309"/>
    <w:bookmarkStart w:id="311" w:name="ref-Hancock2018"/>
    <w:p>
      <w:pPr>
        <w:pStyle w:val="Bibliography"/>
      </w:pPr>
      <w:r>
        <w:t xml:space="preserve">112 ’d. 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10">
        <w:r>
          <w:rPr>
            <w:rStyle w:val="Hyperlink"/>
          </w:rPr>
          <w:t xml:space="preserve">10.1038/s41467-018-07768-9</w:t>
        </w:r>
      </w:hyperlink>
    </w:p>
    <w:bookmarkEnd w:id="311"/>
    <w:bookmarkStart w:id="313" w:name="ref-ODwyer2019"/>
    <w:p>
      <w:pPr>
        <w:pStyle w:val="Bibliography"/>
      </w:pPr>
      <w:r>
        <w:t xml:space="preserve">113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12">
        <w:r>
          <w:rPr>
            <w:rStyle w:val="Hyperlink"/>
          </w:rPr>
          <w:t xml:space="preserve">10.1164/rccm.201809-1650OC</w:t>
        </w:r>
      </w:hyperlink>
    </w:p>
    <w:bookmarkEnd w:id="313"/>
    <w:bookmarkStart w:id="315" w:name="ref-Yang2019"/>
    <w:p>
      <w:pPr>
        <w:pStyle w:val="Bibliography"/>
      </w:pPr>
      <w:r>
        <w:t xml:space="preserve">114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14">
        <w:r>
          <w:rPr>
            <w:rStyle w:val="Hyperlink"/>
          </w:rPr>
          <w:t xml:space="preserve">10.1016/j.immuni.2019.02.001</w:t>
        </w:r>
      </w:hyperlink>
    </w:p>
    <w:bookmarkEnd w:id="315"/>
    <w:bookmarkStart w:id="317" w:name="ref-Sherry2001"/>
    <w:p>
      <w:pPr>
        <w:pStyle w:val="Bibliography"/>
      </w:pPr>
      <w:r>
        <w:t xml:space="preserve">115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16">
        <w:r>
          <w:rPr>
            <w:rStyle w:val="Hyperlink"/>
          </w:rPr>
          <w:t xml:space="preserve">10.1093/nar/29.1.308</w:t>
        </w:r>
      </w:hyperlink>
    </w:p>
    <w:bookmarkEnd w:id="317"/>
    <w:bookmarkStart w:id="319" w:name="ref-Molyneaux2014"/>
    <w:p>
      <w:pPr>
        <w:pStyle w:val="Bibliography"/>
      </w:pPr>
      <w:r>
        <w:t xml:space="preserve">116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18">
        <w:r>
          <w:rPr>
            <w:rStyle w:val="Hyperlink"/>
          </w:rPr>
          <w:t xml:space="preserve">10.1164/rccm.201403-0541OC</w:t>
        </w:r>
      </w:hyperlink>
    </w:p>
    <w:bookmarkEnd w:id="319"/>
    <w:bookmarkStart w:id="320" w:name="ref-Peljto2013"/>
    <w:p>
      <w:pPr>
        <w:pStyle w:val="Bibliography"/>
      </w:pPr>
      <w:r>
        <w:t xml:space="preserve">117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20"/>
    <w:bookmarkStart w:id="322" w:name="ref-Ash2018"/>
    <w:p>
      <w:pPr>
        <w:pStyle w:val="Bibliography"/>
      </w:pPr>
      <w:r>
        <w:t xml:space="preserve">118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21">
        <w:r>
          <w:rPr>
            <w:rStyle w:val="Hyperlink"/>
          </w:rPr>
          <w:t xml:space="preserve">10.1136/thoraxjnl-2017-211208</w:t>
        </w:r>
      </w:hyperlink>
    </w:p>
    <w:bookmarkEnd w:id="322"/>
    <w:bookmarkStart w:id="324" w:name="ref-Dudbridge2019"/>
    <w:p>
      <w:pPr>
        <w:pStyle w:val="Bibliography"/>
      </w:pPr>
      <w:r>
        <w:t xml:space="preserve">119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23">
        <w:r>
          <w:rPr>
            <w:rStyle w:val="Hyperlink"/>
          </w:rPr>
          <w:t xml:space="preserve">10.1038/s41467-019-09381-w</w:t>
        </w:r>
      </w:hyperlink>
    </w:p>
    <w:bookmarkEnd w:id="324"/>
    <w:bookmarkStart w:id="326" w:name="ref-Hunninghake2013"/>
    <w:p>
      <w:pPr>
        <w:pStyle w:val="Bibliography"/>
      </w:pPr>
      <w:r>
        <w:t xml:space="preserve">120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25">
        <w:r>
          <w:rPr>
            <w:rStyle w:val="Hyperlink"/>
          </w:rPr>
          <w:t xml:space="preserve">10.1056/NEJMoa1216076</w:t>
        </w:r>
      </w:hyperlink>
    </w:p>
    <w:bookmarkEnd w:id="326"/>
    <w:bookmarkStart w:id="328" w:name="ref-WarheitNiemi2019"/>
    <w:p>
      <w:pPr>
        <w:pStyle w:val="Bibliography"/>
      </w:pPr>
      <w:r>
        <w:t xml:space="preserve">121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27">
        <w:r>
          <w:rPr>
            <w:rStyle w:val="Hyperlink"/>
          </w:rPr>
          <w:t xml:space="preserve">10.1002/cti2.1065</w:t>
        </w:r>
      </w:hyperlink>
    </w:p>
    <w:bookmarkEnd w:id="328"/>
    <w:bookmarkStart w:id="330" w:name="ref-Shulgina2013"/>
    <w:p>
      <w:pPr>
        <w:pStyle w:val="Bibliography"/>
      </w:pPr>
      <w:r>
        <w:t xml:space="preserve">122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29">
        <w:r>
          <w:rPr>
            <w:rStyle w:val="Hyperlink"/>
          </w:rPr>
          <w:t xml:space="preserve">10.1136/thoraxjnl-2012-202403</w:t>
        </w:r>
      </w:hyperlink>
    </w:p>
    <w:bookmarkEnd w:id="330"/>
    <w:bookmarkStart w:id="332" w:name="ref-Noth2013"/>
    <w:p>
      <w:pPr>
        <w:pStyle w:val="Bibliography"/>
      </w:pPr>
      <w:r>
        <w:t xml:space="preserve">123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31">
        <w:r>
          <w:rPr>
            <w:rStyle w:val="Hyperlink"/>
          </w:rPr>
          <w:t xml:space="preserve">10.1016/S2213-2600(13)70045-6</w:t>
        </w:r>
      </w:hyperlink>
    </w:p>
    <w:bookmarkEnd w:id="332"/>
    <w:bookmarkStart w:id="334" w:name="ref-Marshall2018"/>
    <w:p>
      <w:pPr>
        <w:pStyle w:val="Bibliography"/>
      </w:pPr>
      <w:r>
        <w:t xml:space="preserve">124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33">
        <w:r>
          <w:rPr>
            <w:rStyle w:val="Hyperlink"/>
          </w:rPr>
          <w:t xml:space="preserve">10.1183/13993003.01603-2017</w:t>
        </w:r>
      </w:hyperlink>
    </w:p>
    <w:bookmarkEnd w:id="334"/>
    <w:bookmarkStart w:id="336" w:name="ref-Byrne2016"/>
    <w:p>
      <w:pPr>
        <w:pStyle w:val="Bibliography"/>
      </w:pPr>
      <w:r>
        <w:t xml:space="preserve">125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35">
        <w:r>
          <w:rPr>
            <w:rStyle w:val="Hyperlink"/>
          </w:rPr>
          <w:t xml:space="preserve">10.1016/j.molmed.2016.02.004</w:t>
        </w:r>
      </w:hyperlink>
    </w:p>
    <w:bookmarkEnd w:id="336"/>
    <w:bookmarkStart w:id="338" w:name="ref-Howrylak2017"/>
    <w:p>
      <w:pPr>
        <w:pStyle w:val="Bibliography"/>
      </w:pPr>
      <w:r>
        <w:t xml:space="preserve">126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37">
        <w:r>
          <w:rPr>
            <w:rStyle w:val="Hyperlink"/>
          </w:rPr>
          <w:t xml:space="preserve">10.1146/annurev-physiol-021115-105229</w:t>
        </w:r>
      </w:hyperlink>
    </w:p>
    <w:bookmarkEnd w:id="338"/>
    <w:bookmarkStart w:id="340" w:name="ref-Kuschner1996"/>
    <w:p>
      <w:pPr>
        <w:pStyle w:val="Bibliography"/>
      </w:pPr>
      <w:r>
        <w:t xml:space="preserve">127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39">
        <w:r>
          <w:rPr>
            <w:rStyle w:val="Hyperlink"/>
          </w:rPr>
          <w:t xml:space="preserve">10.1183/09031936.96.09101989</w:t>
        </w:r>
      </w:hyperlink>
    </w:p>
    <w:bookmarkEnd w:id="340"/>
    <w:bookmarkStart w:id="342" w:name="ref-Swanson2019"/>
    <w:p>
      <w:pPr>
        <w:pStyle w:val="Bibliography"/>
      </w:pPr>
      <w:r>
        <w:t xml:space="preserve">128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41">
        <w:r>
          <w:rPr>
            <w:rStyle w:val="Hyperlink"/>
          </w:rPr>
          <w:t xml:space="preserve">10.1038/s41577-019-0165-0</w:t>
        </w:r>
      </w:hyperlink>
    </w:p>
    <w:bookmarkEnd w:id="342"/>
    <w:bookmarkStart w:id="344" w:name="ref-Lasithiotaki2016"/>
    <w:p>
      <w:pPr>
        <w:pStyle w:val="Bibliography"/>
      </w:pPr>
      <w:r>
        <w:t xml:space="preserve">129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43">
        <w:r>
          <w:rPr>
            <w:rStyle w:val="Hyperlink"/>
          </w:rPr>
          <w:t xml:space="preserve">10.1183/13993003.00564-2015</w:t>
        </w:r>
      </w:hyperlink>
    </w:p>
    <w:bookmarkEnd w:id="344"/>
    <w:bookmarkStart w:id="346" w:name="ref-Baumgartner1997"/>
    <w:p>
      <w:pPr>
        <w:pStyle w:val="Bibliography"/>
      </w:pPr>
      <w:r>
        <w:t xml:space="preserve">130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45">
        <w:r>
          <w:rPr>
            <w:rStyle w:val="Hyperlink"/>
          </w:rPr>
          <w:t xml:space="preserve">10.1164/ajrccm.155.1.9001319</w:t>
        </w:r>
      </w:hyperlink>
    </w:p>
    <w:bookmarkEnd w:id="346"/>
    <w:bookmarkStart w:id="347" w:name="ref-Mossman1998"/>
    <w:p>
      <w:pPr>
        <w:pStyle w:val="Bibliography"/>
      </w:pPr>
      <w:r>
        <w:t xml:space="preserve">131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47"/>
    <w:bookmarkStart w:id="349" w:name="ref-StoutDelgado2016"/>
    <w:p>
      <w:pPr>
        <w:pStyle w:val="Bibliography"/>
      </w:pPr>
      <w:r>
        <w:t xml:space="preserve">132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48">
        <w:r>
          <w:rPr>
            <w:rStyle w:val="Hyperlink"/>
          </w:rPr>
          <w:t xml:space="preserve">10.1165/rcmb.2015-0222OC</w:t>
        </w:r>
      </w:hyperlink>
    </w:p>
    <w:bookmarkEnd w:id="349"/>
    <w:bookmarkStart w:id="351" w:name="ref-Raghu2011"/>
    <w:p>
      <w:pPr>
        <w:pStyle w:val="Bibliography"/>
      </w:pPr>
      <w:r>
        <w:t xml:space="preserve">133 Raghu G, Collard HR, Egan JJ</w:t>
      </w:r>
      <w:r>
        <w:t xml:space="preserve"> </w:t>
      </w:r>
      <w:r>
        <w:rPr>
          <w:i/>
        </w:rPr>
        <w:t xml:space="preserve">et al.</w:t>
      </w:r>
      <w:r>
        <w:t xml:space="preserve"> </w:t>
      </w:r>
      <w:r>
        <w:t xml:space="preserve">An official ats/ers/jrs/alat statement: Idiopathic pulmonary fibrosis: Evidence-based guidelines for diagnosis and management.</w:t>
      </w:r>
      <w:r>
        <w:t xml:space="preserve"> </w:t>
      </w:r>
      <w:r>
        <w:rPr>
          <w:i/>
        </w:rPr>
        <w:t xml:space="preserve">American journal of respiratory and critical care medicine</w:t>
      </w:r>
      <w:r>
        <w:t xml:space="preserve"> </w:t>
      </w:r>
      <w:r>
        <w:t xml:space="preserve">2011;</w:t>
      </w:r>
      <w:r>
        <w:rPr>
          <w:b/>
        </w:rPr>
        <w:t xml:space="preserve">183</w:t>
      </w:r>
      <w:r>
        <w:t xml:space="preserve">:788–824. doi:</w:t>
      </w:r>
      <w:hyperlink r:id="rId350">
        <w:r>
          <w:rPr>
            <w:rStyle w:val="Hyperlink"/>
          </w:rPr>
          <w:t xml:space="preserve">10.1164/rccm.2009-040GL</w:t>
        </w:r>
      </w:hyperlink>
    </w:p>
    <w:bookmarkEnd w:id="351"/>
    <w:bookmarkStart w:id="352" w:name="ref-Bonniaud2014"/>
    <w:p>
      <w:pPr>
        <w:pStyle w:val="Bibliography"/>
      </w:pPr>
      <w:r>
        <w:t xml:space="preserve">134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52"/>
    <w:bookmarkStart w:id="353" w:name="ref-Peto2009"/>
    <w:p>
      <w:pPr>
        <w:pStyle w:val="Bibliography"/>
      </w:pPr>
      <w:r>
        <w:t xml:space="preserve">135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353"/>
    <w:bookmarkStart w:id="355" w:name="ref-Stayner1997"/>
    <w:p>
      <w:pPr>
        <w:pStyle w:val="Bibliography"/>
      </w:pPr>
      <w:r>
        <w:t xml:space="preserve">136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54">
        <w:r>
          <w:rPr>
            <w:rStyle w:val="Hyperlink"/>
          </w:rPr>
          <w:t xml:space="preserve">10.1136/oem.54.9.646</w:t>
        </w:r>
      </w:hyperlink>
    </w:p>
    <w:bookmarkEnd w:id="355"/>
    <w:bookmarkStart w:id="357" w:name="ref-Hein2007"/>
    <w:p>
      <w:pPr>
        <w:pStyle w:val="Bibliography"/>
      </w:pPr>
      <w:r>
        <w:t xml:space="preserve">137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56">
        <w:r>
          <w:rPr>
            <w:rStyle w:val="Hyperlink"/>
          </w:rPr>
          <w:t xml:space="preserve">10.1136/oem.2006.031005</w:t>
        </w:r>
      </w:hyperlink>
    </w:p>
    <w:bookmarkEnd w:id="357"/>
    <w:bookmarkStart w:id="358" w:name="ref-Doll1985"/>
    <w:p>
      <w:pPr>
        <w:pStyle w:val="Bibliography"/>
      </w:pPr>
      <w:r>
        <w:t xml:space="preserve">138 Doll R, Peto J.</w:t>
      </w:r>
      <w:r>
        <w:t xml:space="preserve"> </w:t>
      </w:r>
      <w:r>
        <w:rPr>
          <w:i/>
        </w:rPr>
        <w:t xml:space="preserve">Effects on health of exposure to asbestos</w:t>
      </w:r>
      <w:r>
        <w:t xml:space="preserve">. Health &amp; Safety Commission 1985.</w:t>
      </w:r>
      <w:r>
        <w:t xml:space="preserve"> </w:t>
      </w:r>
    </w:p>
    <w:bookmarkEnd w:id="358"/>
    <w:bookmarkStart w:id="360" w:name="ref-Harding2010"/>
    <w:p>
      <w:pPr>
        <w:pStyle w:val="Bibliography"/>
      </w:pPr>
      <w:r>
        <w:t xml:space="preserve">139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59">
        <w:r>
          <w:rPr>
            <w:rStyle w:val="Hyperlink"/>
          </w:rPr>
          <w:t xml:space="preserve">10.1002/ajim.20844</w:t>
        </w:r>
      </w:hyperlink>
    </w:p>
    <w:bookmarkEnd w:id="360"/>
    <w:bookmarkStart w:id="362" w:name="ref-HSE2019"/>
    <w:p>
      <w:pPr>
        <w:pStyle w:val="Bibliography"/>
      </w:pPr>
      <w:r>
        <w:t xml:space="preserve">140 Health, Executive S. Asbestos related diseases in great britain, 2019. Health; Safety Executive 2019.</w:t>
      </w:r>
      <w:r>
        <w:t xml:space="preserve"> </w:t>
      </w:r>
      <w:hyperlink r:id="rId361">
        <w:r>
          <w:rPr>
            <w:rStyle w:val="Hyperlink"/>
          </w:rPr>
          <w:t xml:space="preserve">http://www.hse.gov.uk/statistics/causdis/asbestos-related-disease.pdf</w:t>
        </w:r>
      </w:hyperlink>
    </w:p>
    <w:bookmarkEnd w:id="362"/>
    <w:bookmarkStart w:id="363" w:name="ref-Allen2017"/>
    <w:p>
      <w:pPr>
        <w:pStyle w:val="Bibliography"/>
      </w:pPr>
      <w:r>
        <w:t xml:space="preserve">141 Allen RJ, Porte J, Braybrooke R</w:t>
      </w:r>
      <w:r>
        <w:t xml:space="preserve"> </w:t>
      </w:r>
      <w:r>
        <w:rPr>
          <w:i/>
        </w:rPr>
        <w:t xml:space="preserve">et al.</w:t>
      </w:r>
      <w:r>
        <w:t xml:space="preserve"> </w:t>
      </w:r>
      <w:r>
        <w:t xml:space="preserve">Genetic variants associated with susceptibility to idiopathic pulmonary fibrosis in people of european ancestry: A genome-wide association study.</w:t>
      </w:r>
      <w:r>
        <w:t xml:space="preserve"> </w:t>
      </w:r>
      <w:r>
        <w:rPr>
          <w:i/>
        </w:rPr>
        <w:t xml:space="preserve">The Lancet Respiratory Medicine</w:t>
      </w:r>
      <w:r>
        <w:t xml:space="preserve"> </w:t>
      </w:r>
      <w:r>
        <w:t xml:space="preserve">2017.</w:t>
      </w:r>
    </w:p>
    <w:bookmarkEnd w:id="363"/>
    <w:bookmarkStart w:id="364" w:name="ref-Liu2013"/>
    <w:p>
      <w:pPr>
        <w:pStyle w:val="Bibliography"/>
      </w:pPr>
      <w:r>
        <w:t xml:space="preserve">142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64"/>
    <w:bookmarkStart w:id="366" w:name="ref-Fujisawa2011"/>
    <w:p>
      <w:pPr>
        <w:pStyle w:val="Bibliography"/>
      </w:pPr>
      <w:r>
        <w:t xml:space="preserve">143 Fujisawa T, Chang MM-J, Velichko S</w:t>
      </w:r>
      <w:r>
        <w:t xml:space="preserve"> </w:t>
      </w:r>
      <w:r>
        <w:rPr>
          <w:i/>
        </w:rPr>
        <w:t xml:space="preserve">et al.</w:t>
      </w:r>
      <w:r>
        <w:t xml:space="preserve"> </w:t>
      </w:r>
      <w:r>
        <w:t xml:space="preserve">NF-κB mediates il-1β-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65">
        <w:r>
          <w:rPr>
            <w:rStyle w:val="Hyperlink"/>
          </w:rPr>
          <w:t xml:space="preserve">10.1165/rcmb.2009-0313OC</w:t>
        </w:r>
      </w:hyperlink>
    </w:p>
    <w:bookmarkEnd w:id="366"/>
    <w:bookmarkStart w:id="368" w:name="ref-Testa2011"/>
    <w:p>
      <w:pPr>
        <w:pStyle w:val="Bibliography"/>
      </w:pPr>
      <w:r>
        <w:t xml:space="preserve">144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67">
        <w:r>
          <w:rPr>
            <w:rStyle w:val="Hyperlink"/>
          </w:rPr>
          <w:t xml:space="preserve">10.1038/ng.912</w:t>
        </w:r>
      </w:hyperlink>
    </w:p>
    <w:bookmarkEnd w:id="368"/>
    <w:bookmarkStart w:id="370" w:name="ref-Emri2017"/>
    <w:p>
      <w:pPr>
        <w:pStyle w:val="Bibliography"/>
      </w:pPr>
      <w:r>
        <w:t xml:space="preserve">145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369">
        <w:r>
          <w:rPr>
            <w:rStyle w:val="Hyperlink"/>
          </w:rPr>
          <w:t xml:space="preserve">10.21037/atm.2017.04.06</w:t>
        </w:r>
      </w:hyperlink>
    </w:p>
    <w:bookmarkEnd w:id="370"/>
    <w:bookmarkStart w:id="372" w:name="ref-McElvenny2005"/>
    <w:p>
      <w:pPr>
        <w:pStyle w:val="Bibliography"/>
      </w:pPr>
      <w:r>
        <w:t xml:space="preserve">146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371">
        <w:r>
          <w:rPr>
            <w:rStyle w:val="Hyperlink"/>
          </w:rPr>
          <w:t xml:space="preserve">10.1093/occmed/kqi034</w:t>
        </w:r>
      </w:hyperlink>
    </w:p>
    <w:bookmarkEnd w:id="372"/>
    <w:bookmarkStart w:id="374" w:name="ref-Allen2019"/>
    <w:p>
      <w:pPr>
        <w:pStyle w:val="Bibliography"/>
      </w:pPr>
      <w:r>
        <w:t xml:space="preserve">147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373">
        <w:r>
          <w:rPr>
            <w:rStyle w:val="Hyperlink"/>
          </w:rPr>
          <w:t xml:space="preserve">10.1164/rccm.201905-1017OC</w:t>
        </w:r>
      </w:hyperlink>
    </w:p>
    <w:bookmarkEnd w:id="374"/>
    <w:bookmarkStart w:id="376" w:name="ref-Adair-Kirk2008"/>
    <w:p>
      <w:pPr>
        <w:pStyle w:val="Bibliography"/>
      </w:pPr>
      <w:r>
        <w:t xml:space="preserve">148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375">
        <w:r>
          <w:rPr>
            <w:rStyle w:val="Hyperlink"/>
          </w:rPr>
          <w:t xml:space="preserve">10.1038/nm1008-1024</w:t>
        </w:r>
      </w:hyperlink>
    </w:p>
    <w:bookmarkEnd w:id="376"/>
    <w:bookmarkStart w:id="378" w:name="ref-Kukkonen2014"/>
    <w:p>
      <w:pPr>
        <w:pStyle w:val="Bibliography"/>
      </w:pPr>
      <w:r>
        <w:t xml:space="preserve">149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377">
        <w:r>
          <w:rPr>
            <w:rStyle w:val="Hyperlink"/>
          </w:rPr>
          <w:t xml:space="preserve">10.1136/oemed-2013-101555</w:t>
        </w:r>
      </w:hyperlink>
    </w:p>
    <w:bookmarkEnd w:id="378"/>
    <w:bookmarkStart w:id="380" w:name="ref-Ji2012"/>
    <w:p>
      <w:pPr>
        <w:pStyle w:val="Bibliography"/>
      </w:pPr>
      <w:r>
        <w:t xml:space="preserve">150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379">
        <w:r>
          <w:rPr>
            <w:rStyle w:val="Hyperlink"/>
          </w:rPr>
          <w:t xml:space="preserve">10.1371/journal.pone.0047949</w:t>
        </w:r>
      </w:hyperlink>
    </w:p>
    <w:bookmarkEnd w:id="380"/>
    <w:bookmarkStart w:id="382" w:name="ref-Catrina2016"/>
    <w:p>
      <w:pPr>
        <w:pStyle w:val="Bibliography"/>
      </w:pPr>
      <w:r>
        <w:t xml:space="preserve">151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381">
        <w:r>
          <w:rPr>
            <w:rStyle w:val="Hyperlink"/>
          </w:rPr>
          <w:t xml:space="preserve">10.1111/imr.12379</w:t>
        </w:r>
      </w:hyperlink>
    </w:p>
    <w:bookmarkEnd w:id="382"/>
    <w:bookmarkStart w:id="384" w:name="ref-Stolt2010"/>
    <w:p>
      <w:pPr>
        <w:pStyle w:val="Bibliography"/>
      </w:pPr>
      <w:r>
        <w:t xml:space="preserve">152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383">
        <w:r>
          <w:rPr>
            <w:rStyle w:val="Hyperlink"/>
          </w:rPr>
          <w:t xml:space="preserve">10.1136/ard.2009.114694</w:t>
        </w:r>
      </w:hyperlink>
    </w:p>
    <w:bookmarkEnd w:id="384"/>
    <w:bookmarkStart w:id="386" w:name="ref-Rosenman2012"/>
    <w:p>
      <w:pPr>
        <w:pStyle w:val="Bibliography"/>
      </w:pPr>
      <w:r>
        <w:t xml:space="preserve">153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385">
        <w:r>
          <w:rPr>
            <w:rStyle w:val="Hyperlink"/>
          </w:rPr>
          <w:t xml:space="preserve">10.1164/ajrccm.185.9.1024a</w:t>
        </w:r>
      </w:hyperlink>
    </w:p>
    <w:bookmarkEnd w:id="386"/>
    <w:bookmarkStart w:id="388" w:name="ref-Mathews2014"/>
    <w:p>
      <w:pPr>
        <w:pStyle w:val="Bibliography"/>
      </w:pPr>
      <w:r>
        <w:t xml:space="preserve">154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387">
        <w:r>
          <w:rPr>
            <w:rStyle w:val="Hyperlink"/>
          </w:rPr>
          <w:t xml:space="preserve">10.1136/annrheumdis-2013-203276</w:t>
        </w:r>
      </w:hyperlink>
    </w:p>
    <w:bookmarkEnd w:id="388"/>
    <w:bookmarkStart w:id="390" w:name="ref-Davies2018"/>
    <w:p>
      <w:pPr>
        <w:pStyle w:val="Bibliography"/>
      </w:pPr>
      <w:r>
        <w:t xml:space="preserve">155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389">
        <w:r>
          <w:rPr>
            <w:rStyle w:val="Hyperlink"/>
          </w:rPr>
          <w:t xml:space="preserve">10.1136/bmj.k601</w:t>
        </w:r>
      </w:hyperlink>
    </w:p>
    <w:bookmarkEnd w:id="390"/>
    <w:bookmarkStart w:id="392" w:name="ref-Lawlor2016"/>
    <w:p>
      <w:pPr>
        <w:pStyle w:val="Bibliography"/>
      </w:pPr>
      <w:r>
        <w:t xml:space="preserve">156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391">
        <w:r>
          <w:rPr>
            <w:rStyle w:val="Hyperlink"/>
          </w:rPr>
          <w:t xml:space="preserve">10.1093/ije/dyw314</w:t>
        </w:r>
      </w:hyperlink>
    </w:p>
    <w:bookmarkEnd w:id="392"/>
    <w:bookmarkStart w:id="394" w:name="ref-Wootton2019"/>
    <w:p>
      <w:pPr>
        <w:pStyle w:val="Bibliography"/>
      </w:pPr>
      <w:r>
        <w:t xml:space="preserve">157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393">
        <w:r>
          <w:rPr>
            <w:rStyle w:val="Hyperlink"/>
          </w:rPr>
          <w:t xml:space="preserve">10.1017/S0033291719002678</w:t>
        </w:r>
      </w:hyperlink>
    </w:p>
    <w:bookmarkEnd w:id="394"/>
    <w:bookmarkStart w:id="396" w:name="ref-An2019"/>
    <w:p>
      <w:pPr>
        <w:pStyle w:val="Bibliography"/>
      </w:pPr>
      <w:r>
        <w:t xml:space="preserve">158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395">
        <w:r>
          <w:rPr>
            <w:rStyle w:val="Hyperlink"/>
          </w:rPr>
          <w:t xml:space="preserve">10.1038/s41467-019-11968-2</w:t>
        </w:r>
      </w:hyperlink>
    </w:p>
    <w:bookmarkEnd w:id="396"/>
    <w:bookmarkStart w:id="398" w:name="ref-Gill2019"/>
    <w:p>
      <w:pPr>
        <w:pStyle w:val="Bibliography"/>
      </w:pPr>
      <w:r>
        <w:t xml:space="preserve">159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397">
        <w:r>
          <w:rPr>
            <w:rStyle w:val="Hyperlink"/>
          </w:rPr>
          <w:t xml:space="preserve">10.1371/journal.pmed.1002833</w:t>
        </w:r>
      </w:hyperlink>
    </w:p>
    <w:bookmarkEnd w:id="398"/>
    <w:bookmarkStart w:id="400" w:name="ref-Georgakis2019"/>
    <w:p>
      <w:pPr>
        <w:pStyle w:val="Bibliography"/>
      </w:pPr>
      <w:r>
        <w:t xml:space="preserve">160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399">
        <w:r>
          <w:rPr>
            <w:rStyle w:val="Hyperlink"/>
          </w:rPr>
          <w:t xml:space="preserve">10.1161/CIRCULATIONAHA.118.035905</w:t>
        </w:r>
      </w:hyperlink>
    </w:p>
    <w:bookmarkEnd w:id="400"/>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53" Target="media/rId53.jpg" /><Relationship Type="http://schemas.openxmlformats.org/officeDocument/2006/relationships/image" Id="rId121" Target="media/rId121.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08" Target="media/rId1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38" Target="media/rId38.jpg" /><Relationship Type="http://schemas.openxmlformats.org/officeDocument/2006/relationships/image" Id="rId48" Target="media/rId48.jpg" /><Relationship Type="http://schemas.openxmlformats.org/officeDocument/2006/relationships/image" Id="rId89" Target="media/rId89.png" /><Relationship Type="http://schemas.openxmlformats.org/officeDocument/2006/relationships/image" Id="rId49" Target="media/rId49.jpg" /><Relationship Type="http://schemas.openxmlformats.org/officeDocument/2006/relationships/image" Id="rId84" Target="media/rId84.png" /><Relationship Type="http://schemas.openxmlformats.org/officeDocument/2006/relationships/image" Id="rId40" Target="media/rId40.png" /><Relationship Type="http://schemas.openxmlformats.org/officeDocument/2006/relationships/image" Id="rId73" Target="media/rId73.jpg" /><Relationship Type="http://schemas.openxmlformats.org/officeDocument/2006/relationships/image" Id="rId37" Target="media/rId37.png" /><Relationship Type="http://schemas.openxmlformats.org/officeDocument/2006/relationships/image" Id="rId122" Target="media/rId122.png" /><Relationship Type="http://schemas.openxmlformats.org/officeDocument/2006/relationships/image" Id="rId34" Target="media/rId34.jp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104" Target="media/rId104.png" /><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2020-02-19T18:58:28Z</dcterms:created>
  <dcterms:modified xsi:type="dcterms:W3CDTF">2020-02-19T18:58:28Z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/home/drcjar/Dropbox/Documents/ipfjes-thesis/source/references.bib</vt:lpwstr>
  </property>
  <property fmtid="{D5CDD505-2E9C-101B-9397-08002B2CF9AE}" pid="3" name="csl">
    <vt:lpwstr>/home/drcjar/Dropbox/Documents/ipfjes-thesis/style/ref_format.csl</vt:lpwstr>
  </property>
</Properties>
</file>